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156</w:t>
      </w:r>
    </w:p>
    <w:p>
      <w:r>
        <w:t>Bundesgericht (BGE), 1990-06-11, DE</w:t>
      </w:r>
    </w:p>
    <w:p>
      <w:r>
        <w:rPr>
          <w:b/>
        </w:rPr>
        <w:t xml:space="preserve">Quelle: </w:t>
      </w:r>
      <w:r>
        <w:t>https://mcp.opencaselaw.ch/entscheid/bge_BGE_116_V_156</w:t>
      </w:r>
    </w:p>
    <w:p>
      <w:r>
        <w:t>FR: ATF 116 V 156</w:t>
      </w:r>
    </w:p>
    <w:p>
      <w:r>
        <w:t>IT: DTF 116 V 156</w:t>
      </w:r>
    </w:p>
    <w:p>
      <w:pPr>
        <w:pStyle w:val="Heading2"/>
      </w:pPr>
      <w:r>
        <w:t>Regeste</w:t>
      </w:r>
    </w:p>
    <w:p>
      <w:r>
        <w:t>Regeste Art. 25 Abs. 1 und Art. 36 Abs. 2 UVG, Art. 36 UVV, Anhang 3 UVV: Bemessung des Integritätsschadens. - Tatbestände. - Bemessung des Schadens, der sich aus teils unfallbedingten, teils vorbestandenen Beeinträchtigungen zusammensetzt.</w:t>
      </w:r>
    </w:p>
    <w:p>
      <w:r>
        <w:t>Regeste Art. 25 al. 1 et art. 36 al. 2 LAA, art. 36 OLAA, annexe 3 à l'OLAA: Evaluation de l'atteinte à l'intégrité. - Les différentes éventualités. - Evaluation de l'atteinte lorsque celle-ci est due en partie à l'accident et en partie à des facteurs préexistants.</w:t>
      </w:r>
    </w:p>
    <w:p>
      <w:r>
        <w:t>Regesto Art. 25 cpv. 1 e art. 36 cpv. 2 LAINF, art. 36 OAINF, allegato 3 OAINF: Calcolo della menomazione dell'integrità. - Fattispecie. - Calcolo della menomazione se dovuta in parte all'infortunio e in parte a fattori preesistenti.</w:t>
      </w:r>
    </w:p>
    <w:p>
      <w:pPr>
        <w:pStyle w:val="Heading2"/>
      </w:pPr>
      <w:r>
        <w:t>Erwägungen</w:t>
      </w:r>
    </w:p>
    <w:p>
      <w:r>
        <w:rPr>
          <w:b/>
        </w:rPr>
        <w:t>E. 3</w:t>
      </w:r>
    </w:p>
    <w:p>
      <w:r>
        <w:t>Bei der Bemessung des Integritätsschadens und der Kürzung der Integritätsentschädigung lassen sich folgende Tatbestände unterscheiden: BGE 116 V 156 S. 157 a) Ein versichertes Ereignis (Unfall, unfallähnliche Körperschädigung oder Berufskrankheit) führt zu einem Integritätsschaden. Dessen Schwere bemisst sich nach der Skala im Anhang 3 zur UVV. Fällt ein solcher Schaden nicht unter eine der in der Skala aufgeführten Positionen, so wird die Entschädigung nach dem Grad der Schwere vom Skalenwert abgeleitet. In diesem Zusammenhang hat die Schweizerische Unfallversicherungsanstalt (SUVA) in Weiterentwicklung der bundesrätlichen Skala weitere Bemessungsgrundlagen in tabellarischer Form (sog. Feinraster) erarbeitet. Diese in den Mitteilungen der Medizinischen Abteilung der SUVA, Nr. 57 bis 59, herausgegebenen Tabellen (teilweise geändert und ergänzt in den Mitteilungen Nr. 60 und 62) stellen zwar keine Rechtssätze dar und sind für den Richter nicht verbindlich, umso weniger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 BGE 113 V 219 Erw. 2b mit Hinweisen). b) Ein oder mehrere versicherte Ereignisse führen zu verschiedenen Integritätsschäden. In diesen Fällen wird die Integritätsentschädigung gemäss Art. 36 Abs. 3 UVV nach der gesamten Beeinträchtigung festgesetzt, wobei die Gesamtentschädigung den Höchstbetrag des versicherten Jahresverdienstes nicht übersteigen darf. Die den einzelnen Schädigungen entsprechenden Prozentzahlen werden selbst dann zusammengezählt, wenn eine, mehrere oder alle davon für sich die Schwelle von 5% nicht erreichen; die Entschädigung ist geschuldet, sobald die Summe der Prozentzahlen die Erheblichkeitsgrenze von 5% übersteigt (RKUV 1988 Nr. U 48 S. 236 Erw. 2b). c) Mehrere, teils versicherte, teils nichtversicherte Ereignisse (Vorzustand, nicht versicherter Unfall) verursachen einen Integritätsschaden, d.h. es besteht ein Beschwerdebild, das medizinisch-diagnostisch nicht in einzelne, voneinander unterscheidbare Beeinträchtigungen aufgeteilt werden kann. Hier ist der Integritätsschaden gesamthaft nach Anhang 3 zur UVV oder nötigenfalls nach den genannten Richtlinien gemäss den Tabellen der Medizinischen Abteilung der SUVA einzuschätzen. In einem zweiten Schritt ist die Entschädigung nach Massgabe von Art. 36 Abs. 2 UVG BGE 116 V 156 S. 158 entsprechend dem Kausalanteil der nichtversicherten Ereignisse am gesamten Integritätsschaden zu kürzen. d) Mehrere, teils versicherte, teils nichtversicherte Ereignisse verursachen je verschiedene Integritätsschäden. Hier bemisst sich die vom Unfallversicherer geschuldete Integritätsentschädigung allein nach der Schwere der Folgen des oder der versicherten Ereignisse. Die durch das oder die nichtversicherten Ereignisse verursachte Beeinträchtigung der Integrität bleibt bei der Festsetzung der Entschädigung ausser Betracht. e) Schliesslich fragt sich, wie vorzugehen ist, wenn der Versicherte mehrere voneinander unterscheidbare Beeinträchtigungen der Integrität aufweist, wobei versicherte und nichtversicherte Ereignisse an allen oder einzelnen dieser Teilbeeinträchtigungen ihren Kausalanteil haben. Würde in solchen Fällen die Schwere der Beeinträchtigungen nach Anhang 3 zur UVV oder den tabellarischen Richtlinien eingeschätzt und das Gesamtergebnis nach Massgabe des Kausalanteils des oder der nichtversicherten Ereignisse gekürzt, so bestünde keine Gewähr dafür, dass der Unfallversicherer effektiv nur den unfallbedingten oder durch ein anderes versichertes Ereignis bewirkten Integritätsschaden zu entschädigen hätte. Bei diesem Tatbestand darf nicht unberücksichtigt bleiben, dass der Kausalanteil des nichtversicherten Ereignisses (z.B. des Vorzustandes) an einer schweren Einzelbeeinträchtigung sehr hoch oder umgekehrt sehr niedrig sein kann. Diesen Gegebenheiten kann nur in der Weise Rechnung getragen werden, dass die verschiedenen Beeinträchtigungen je für sich eingeschätzt werden und für die einzelnen Teilbeeinträchtigungen die Kürzung entsprechend dem Kausalanteil des nichtversicherten Ereignisses an der Teilbeeinträchtigung vorgenommen wird. Anschliessend sind die so gekürzten einzelnen unfallbedingten Schädigungen zum gesamten versicherten Integritätsschaden zusammenzurechnen.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