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159 vom 1. Januar 1990</w:t>
      </w:r>
    </w:p>
    <w:p>
      <w:r>
        <w:t>Bundesgericht (BGE), 1990-01-01, DE</w:t>
      </w:r>
    </w:p>
    <w:p>
      <w:r>
        <w:rPr>
          <w:b/>
        </w:rPr>
        <w:t xml:space="preserve">Quelle: </w:t>
      </w:r>
      <w:r>
        <w:t>https://mcp.opencaselaw.ch/entscheid/bge_BGE_116_Ib_159</w:t>
      </w:r>
    </w:p>
    <w:p>
      <w:r>
        <w:t>FR: BGE BGE 116 Ib 159 du 1 janvier 1990</w:t>
      </w:r>
    </w:p>
    <w:p>
      <w:r>
        <w:t>IT: BGE BGE 116 Ib 159 del 1 gennaio 1990</w:t>
      </w:r>
    </w:p>
    <w:p>
      <w:pPr>
        <w:pStyle w:val="Heading2"/>
      </w:pPr>
      <w:r>
        <w:t>Regeste</w:t>
      </w:r>
    </w:p>
    <w:p>
      <w:r>
        <w:t>Regeste Umweltschutzgesetzgebung des Bundes (Lärmschutz), Bau einer Gemeindestrasse (Erschliessungsstrasse). 1. Rechtsmittel: Das angefochtene Strassenprojekt wurde zwar in Form eines Sondernutzungsplanes öffentlich aufgelegt. Inhaltlich handelte es sich indes um die Publikation eines Bauvorhabens, mit dessen rechtskräftiger Genehmigung auch die Baubewilligung erteilt wird. Insoweit ist dem betreffenden Plan daher Verfügungscharakter beizumessen, so dass die Ausnahmebestimmung von Art. 99 lit. c OG nicht zum Tragen kommt, sondern für die Rüge, das Vorhaben verletze Umweltschutzrecht des Bundes (Lärmschutzbestimmungen des USG bzw. der LSV), die Verwaltungsgerichtsbeschwerde offensteht (E. 1a). 2. Prüfung der Voraussetzungen von Art. 25 Abs. 2 USG in bezug auf das fragliche Projekt. Folgerungen aus dem Umstand, dass das Vorhaben diese Voraussetzungen teilweise nicht erfüllt (E. 6). 3. Das zweistufige Konzept des Umweltschutzgesetzes zur Emissionsbegrenzung gemäss Art. 11 Abs. 2 und 3 USG gilt auch für den Lärmschutz (E. 7).</w:t>
      </w:r>
    </w:p>
    <w:p>
      <w:r>
        <w:t>Regeste Législation fédérale sur la protection de l'environnement (protection contre le bruit), construction d'une route communale (route de desserte). 1. Voies de droit: Le projet de route attaqué a certes été mis à l'enquête publique sous la forme d'un plan spécial d'affectation. Il s'agit toutefois, matériellement, de la publication d'un projet de construction dont l'entrée en force impliquera l'autorisation de construire. Dès lors, il faut reconnaître à un tel plan le caractère d'une décision, de sorte que l'exception de l'art. 99 lit. c OJ ne s'applique pas. Le projet peut faire l'objet d'un recours de droit administratif pour violation du droit fédéral sur la protection de l'environnement (dispositions sur la protection contre le bruit de la LPE et de l'OPB; consid. 1a). 2. Examen des conditions de l'art. 25 al. 2 LPE. Conséquences du fait que le projet attaqué ne remplit que partiellement ces conditions (consid. 6). 3. Tel qu'il est défini à l'art. 11 al. 2 et 3 LPE pour la limitation des émissions, le concept à double niveau s'applique également pour la protection contre le bruit (consid. 7).</w:t>
      </w:r>
    </w:p>
    <w:p>
      <w:r>
        <w:t>Regesto Legislazione federale sulla protezione dell'ambiente (protezione contro il rumore), costruzione di una strada comunale (destinata all'urbanizzazione). 1. Rimedi giuridici: Il progetto stradale impugnato è stato pubblicato quale piano particolareggiato di utilizzazione. Si tratta tuttavia, sotto il profilo sostanziale, della pubblicazione di un progetto di costruzione, la cui approvazione passata in giudicato comporta il rilascio della licenza edilizia. Occorre pertanto riconoscere a tale piano il carattere di una decisione, di modo che l'eccezione di cui all'art. 99 lett. c OG non è ad esso applicabile; il progetto è impugnabile con ricorso di diritto amministrativo per violazione del diritto federale sulla protezione dell'ambiente (disposizioni sulla protezione contro il rumore della LPA e dell'OIF; consid. 1a). 2. Esame delle condizioni poste dall'art. 25 cpv. 2 LPA in relazione con il progetto di cui trattasi. Conseguenza del fatto che tale progetto adempie solo parzialmente dette condizioni (consid. 6). 3. Il concetto a doppio livello, quale definito nell'art. 11 cpv. 2 e 3 LPA per la limitazione delle emissioni, si applica anche per la protezione contro il rumore (consid. 7).</w:t>
      </w:r>
    </w:p>
    <w:p>
      <w:pPr>
        <w:pStyle w:val="Heading2"/>
      </w:pPr>
      <w:r>
        <w:t>Erwägungen</w:t>
      </w:r>
    </w:p>
    <w:p>
      <w:r>
        <w:rPr>
          <w:b/>
        </w:rPr>
        <w:t>E. 1</w:t>
      </w:r>
    </w:p>
    <w:p>
      <w:r>
        <w:t>Das Bundesgericht prüft von Amtes wegen und mit freier Kognition, ob es auf die Verwaltungsgerichtsbeschwerde eintreten kann ( BGE 115 Ib 350 E. 1 mit Hinweis). a) Gemäss Art. 97 OG in Verbindung mit Art. 5 VwVG ist die Verwaltungsgerichtsbeschwerde zulässig gegen Verfügungen, die sich auf öffentliches Recht des Bundes stützen oder hätten stützen BGE 116 Ib 159 S. 163 sollen ( BGE 115 Ib 350 E. 1b mit Hinweis),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115 Ib 350 E. 1b und 385 f. E. 1, mit weiteren Hinweisen). Die Beschwerdeführerin rügt Lärmschutzbestimmungen des Bundesgesetzes vom 7. Oktober 1983 über den Umweltschutz (USG, SR 814.01) als verletzt. Dieses verweist in Art. 54 auf die allgemeinen Rechtsmittelbestimmungen des OG und des VwVG. Das Verwaltungsgericht des Kantons Thurgau stellt eine Vorinstanz im Sinne von Art. 98 lit. g OG dar. Dagegen kann man sich fragen, ob es sich beim angefochtenen Bauprojekt um eine Verfügung im Sinne von Art. 5 VwVG oder um eine Verfügung über einen Plan im Sinne von Art. 99 lit. c OG handelt, gegen welchen die Verwaltungsgerichtsbeschwerde unzulässig ist. Das angefochtene Strassenprojekt wurde zwar in Form eines Plans gemäss § 45 des Gesetzes über das Strassenwesen des Kantons Thurgau vom 25. Februar 1939 öffentlich aufgelegt. Dieser Strassenplan ist als Sondernutzungsplan zu bezeichnen (s. BGE 112 Ib 166 E. 2b und 412 E. 1b/c). Inhaltlich handelt es sich indessen um die Publikation eines Bauvorhabens; wird das Projekt rechtskräftig genehmigt, ist damit auch die Baubewilligung erteilt. Bei dieser Sachlage ist dem fraglichen Strassenplan insoweit Verfügungscharakter beizumessen, so dass die Ausnahmebestimmung von Art. 99 lit. c OG nicht zum Tragen kommt (s. BGE 115 Ib 351 f., 506 E. 2, mit weiteren Hinweisen).</w:t>
      </w:r>
    </w:p>
    <w:p>
      <w:r>
        <w:rPr>
          <w:b/>
        </w:rPr>
        <w:t>E. 6</w:t>
      </w:r>
    </w:p>
    <w:p>
      <w:r>
        <w:t>Die Beschwerdeführerin macht geltend, die neue Hörnlistrasse erschliesse auch das Industriegebiet "Riet" südlich der Eisenbahnlinie. Spätestens wenn dieses Gebiet weiter überbaut werde, steige der Lärmpegel an der geplanten Hörnlistrasse auf über 55 dB(A). Der Aus- und Neubau der Hörnlistrasse stützt sich auf den kommunalen Richtplan Verkehr aus dem Jahre 1983. Darin ist sie als Sammelstrasse vorgesehen, die - wie die Gemeinde Eschlikon im Verlaufe des Verfahrens mehrfach betont hat - einerseits zur Erschliessung von bis anhin nicht bzw. ungenügend erschlossenem Bauland dienen und anderseits zu einer Entlastung der Ziegelei- und der Hilagstrasse beitragen soll. Anlässlich der bundesgerichtlichen Instruktionsverhandlung haben die Gemeindevertreter BGE 116 Ib 159 S. 164 ausgeführt, sie seien sich bewusst, dass eine umfassende Überbauung des Industriegebiets nicht ohne weitere Erschliessungsstrasse möglich sei. Dagegen könnten einzelne weitere Bauvorhaben durchaus noch über die Hörnlistrasse erschlossen werden. Die Hörnlistrasse soll somit nach Auffassung der Planungsbehörden durchaus teilweise die Funktion einer Erschliessungsstrasse für das Industriegebiet "Riet" übernehmen. Dies muss bei einer Lärmprognose im Sinne von Art. 25 Abs. 1 USG berücksichtigt werden. Der Beschwerdeführerin ist mithin beizupflichten, wenn sie ausführt, ein solcher Mehrverkehr würde die Gesamtimmissionen der geplanten Erschliessungsstrasse über den Planungswert von 55 dB(A) hinaus anschwellen lassen, weshalb eine weitere Überbauung der definitiven Industriezone den in Art. 25 Abs. 1 USG und Art. 7 LSV gesteckten Rahmen zulässiger Immissionen sprengen würde. Das entspricht auch der im Gutachten Basler &amp; Hofmann vertretenen Meinung. Das Baudepartement und das Verwaltungsgericht teilen diese Auffassung, nur ziehen sie daraus unterschiedliche Schlüsse. Das Baudepartement vertritt in seinem Entscheid die Auffassung, die betreffende Feststellung führe nicht zu einem Bauverbot für die Hörnlistrasse, sondern dazu, dass im Industriegebiet "Riet" bis zur Erstellung einer weiteren Erschliessungsstrasse für dieses Gebiet keine Baubewilligung mehr erteilt werden dürfe. Das Verwaltungsgericht hält dagegen mit der Ortsgemeinde Eschlikon dafür, dass die Hörnlistrasse gestützt auf Art. 25 Abs. 2 USG bewilligt werden könne, sofern die Gemeinde eine weitere Erschliessungsstrasse zumindest in ihren Richtplan aufnehme. Entsprechend wies es die Ortsgemeinde Eschlikon in seinem Entscheid an, in ihrer Richtplanung im Sinne der Erwägungen eine weitere Erschliessung der Industriezone vorzusehen. Dieser Teil des Dispositivs des verwaltungsgerichtlichen Urteils wurde seitens der Gemeinde nicht angefochten. Vielmehr ist diese selber der Auffassung, eine weitere Erschliessungsstrasse sei erforderlich. Die Beschwerdeführerin schliesslich ist der Meinung, bis zum Bau einer zusätzlichen Erschliessung könne die Hörnlistrasse nicht erstellt werden, weil die Voraussetzungen von Art. 25 Abs. 2 USG nicht erfüllt seien. Wie es sich damit verhält, ist nachfolgend zu prüfen. a) Gemäss Art. 25 Abs. 2 USG können Erleichterungen gewährt werden, wenn ein überwiegendes Interesse an der Anlage besteht und die Einhaltung der Planungswerte zu einer unverhältnismässigen Belastung für das Projekt führen würde. Dabei dürfen BGE 116 Ib 159 S. 165 jedoch unter Vorbehalt von Art. 25 Abs. 3 USG die Immissionsgrenzwerte nicht überschritten werden. Wie erwähnt (E. 4b), ist für die Empfindlichkeitsstufe II ein Immissionsgrenzwert von 60 dB(A) massgebend. Zunächst ist festzuhalten, dass nicht für den Bau jeder Strasse ein überwiegendes öffentliches Interesse besteht. Sofern eine neue Strasse ein Industriegebiet erschliessen soll, ist vielmehr unter verschiedenen möglichen und tauglichen Varianten diejenige zu wählen, welche die Planungswerte einhält. Anderseits muss jedes Baugebiet grundsätzlich auch selber seine Lärmimmissionen tragen. Soweit demnach die Hörnlistrasse lediglich das Baugebiet nördlich der Bahnlinie erschliesst und dabei die Hilag-, die Wiesen- und die Ziegeleistrasse entlastet, die ebenfalls durch Wohngebiet führen, stünde Art. 25 Abs. 2 USG einer Bewilligung auch dann nicht entgegen, wenn die Planungswerte überschritten würden, was im vorliegenden Fall aber - wie ausgeführt - nicht zutrifft. Soll aber die neue Hörnlistrasse auch das bisher nicht überbaute Industriegebiet erschliessen, dann muss im einzelnen geprüft werden, ob nicht eine andere Variante besser geeignet ist, das Erschliessungsproblem zu lösen. Das ist insbesondere dann der Fall, wenn eine andere Strassenführung die Planungswerte nicht verletzt und auch keine anderen überwiegenden Gründe der Raumplanung oder des Umweltschutzes gegen diese Variante sprechen. Die Gemeinde, die Vorinstanzen und die Beschwerdeführerin sind der Auffassung, dass die im Richtplan vorgesehene Umfahrungsstrasse von Eschlikon, welche im fraglichen Bereich unmittelbar südlich der Bahnlinie verläuft, als Erschliessung des Industriegebiets besser geeignet wäre als die Hörnlistrasse. Falls diese nicht innert kurzer Frist verwirklicht werden könne, sei auch bloss das westliche Teilstück vom Bahnübergang der Bahnhofstrasse bis zum Industriegebiet in Form einer Stichstrasse zweckmässig. Diese Stichstrasse soll nach dem Willen des Verwaltungsgerichts und auch der Gemeinde selber in den Richtplan aufgenommen werden. In der Tat würde diese Strassenführung kaum durch Wohngebiet verlaufen und die Verkehrsträger entlang dem Bahntrassee bündeln. Schon aus diesem Grunde kann somit nicht gesagt werden, es bestehe für die Hörnlistrasse als Erschliessung des Industriegebiets ein überwiegendes öffentliches Interesse. Zudem haben die Vertreter der Gemeinde Eschlikon anlässlich der bundesgerichtlichen Instruktionsverhandlung ausgeführt, es komme allenfalls auch eine BGE 116 Ib 159 S. 166 Erschliessung des betreffenden Gebiets weiter südlich in Richtung Wallenwil in Betracht. Zusammenfassend ergibt sich daher, dass die neue Hörnlistrasse zwar zur Erschliessung des Baugebiets nördlich des Bahnübergangs und zur Entlastung der andern Verkehrswege in diesem Bereich gerechtfertigt ist, nicht aber als Erschliessung für das bisher nicht überbaute Industriegebiet. Eine Erschliessung dieses Gebiets über die neue Hörnlistrasse würde Art. 25 Abs. 2 USG verletzen. Der Vollständigkeit halber sei angemerkt, dass die bereits bestehenden Industriebauten südlich des Bahndammes nach der nicht zu beanstandenden Auffassung der Vorinstanzen über die neue Hörnlistrasse miterschlossen werden können, ohne dass dadurch die Planungswerte überschritten werden. b) Sind die Voraussetzungen von Art. 25 Abs. 2 USG für den Neubau der Hörnlistrasse insoweit nicht erfüllt, als damit das nicht überbaute Industriegebiet "Riet" erschlossen werden soll, stellt sich die Frage, ob die Beschwerde deswegen gutzuheissen ist und ob damit der Bau der Hörnlistrasse vorerst verhindert werden muss. Diese Frage ist indes zu verneinen, wie nachfolgend aufzuzeigen ist. Gemäss Art. 22 Abs. 2 RPG ist Voraussetzung einer Baubewilligung, dass das Land erschlossen ist. Land ist erschlossen, wenn u.a. die für die betreffende Nutzung hinreichende Zufahrt besteht ( Art. 19 Abs. 1 RPG ). Dabei sind die Anforderungen an die Erschliessung je nach der beanspruchten Nutzung und nach den massgeblichen Umständen im Einzelfall verschieden (EJPD/BRP, Erläuterungen RPG, N. 9 zu Art. 19). Das bedeutet, dass die Erschliessung beispielsweise für eine Industriezone andere Voraussetzungen zu erfüllen hat als für eine Wohnzone. Dabei gehört zur Zufahrt im Sinne der letztgenannten Bestimmung nicht nur das Verbindungsstück von der öffentlich zugänglichen Strasse zum Grundstück, sondern ebensosehr die weiterführende öffentliche Strasse, soweit der Besucher sie zwingend als Zufahrt benützen muss. Genügt eine dem Gemeingebrauch dienende Strassenverbindung für die vorgesehene Baunutzung nicht, so muss die Baubewilligung verweigert werden (Erläuterungen, a.a.O., N. 12 zu Art. 19 RPG ). In diesem Sinne ist eine Erschliessung auch dann ungenügend, wenn sie die Umweltschutzgesetzgebung verletzt bzw. wenn der Anschluss an eine bestehende Erschliessung die Umweltschutzgesetzgebung verletzen würde (vgl. P. ETTLER, Kommentar zu Art. 25 USG , N. 20). BGE 116 Ib 159 S. 167 Wenn demnach die neue Hörnlistrasse die einzige Erschliessungsmöglichkeit für das Industriegebiet ist und im fraglichen Zeitpunkt Lärmmessungen auf ihr ergeben, dass der Planungswert bereits erreicht ist, so fehlt es den unüberbauten Grundstücken im Industriegebiet an der erforderlichen Erschliessung und damit an der Baureife. Ein allfälliges Überschreiten der Planungswerte durch eine weitere Überbauung der Industriezone führt nach dem Gesagten nicht zum Bauverbot der Hörnlistrasse, sondern zum Bauabschlag für Bauvorhaben in dieser Zone, bis die von der Gemeinde in Aussicht genommene Stichstrasse oder allenfalls eine anderweitige hinreichende Erschliessung verwirklicht ist. Dabei gilt - wie das Baudepartement in seinem Entscheid zutreffend ausgeführt hat - auch für nach Fertigstellung der Hörnlistrasse eingereichte Bauvorhaben der Planungswert von 55 dB(A) und nicht etwa der höhere Immissionsgrenzwert (vgl. Art. 8 Abs. 4 in Verbindung mit Art. 7 LSV ). In diesem Zusammenhang ist aber festzustellen, dass das vom Baudepartement hinsichtlich des Industriegebiets "Riet" nur undifferenziert festgelegte, vorübergehende generelle Bauverbot als solches als unverhältnismässig erscheint, indem es klar über eine Erschliessungsetappierung im traditionellen Sinne hinausgeht (vgl. Art. 3 Abs. 3 lit. b in Verbindung mit Art. 19 RPG , Art. 21 f. RPV in der Fassung vom 2. Oktober 1989 (AS 1989 S. 1985 ff.), Art. 5 WEG ). Vielmehr muss - um dem sowohl im Lichte der Eigentumsgarantie als auch im Lichte der Umweltschutzgesetzgebung bedeutsamen Verhältnismässigkeitsgrundsatz Nachachtung zu verschaffen (s. Botschaft des Bundesrates zum USG, BBl 1979 III S. 756 und 777 f.) - einzelfallweise differenziert werden, will doch das Umweltschutzgesetz kein Verhinderungs-, sondern ein Massnahmengesetz sein. Seinem Konzept nach will es die Quellen der Umweltbelastung nicht als solche in Frage stellen; die Nachfrage soll nicht untersagt, sondern befriedigt werden, wobei aber gleichzeitig die den Umweltschutzanforderungen entsprechenden Vorkehren getroffen werden sollen. Nur aus dieser Sicht ist die kaskadenartige Ordnung von Art. 25 USG - von Abs. 1 über Abs. 2 bis zu Abs. 3 - zu erklären. Auf den vorliegenden Fall bezogen heisst dies, dass die zuständige Baubewilligungsbehörde einem Bauvorhaben im Industriegebiet "Riet" bereits jetzt - noch ohne die vom Baudepartement genannte zweite Erschliessungsstrasse - nicht mit der Begründung der fehlenden Erschliessung die Baubewilligung verweigern darf, wenn sich die Erschliessung im BGE 116 Ib 159 S. 168 Sinne der vorstehenden Ausführungen für ein Vorhaben auch anderswie, ohne die betreffende weitere Erschliessungsstrasse, als hinreichend erweisen sollte. Dies könnte insbesondere etwa dann der Fall sein, wenn eine einzelne Parzelle nach Süden oder in Richtung Wallenwil erschliessbar wäre.</w:t>
      </w:r>
    </w:p>
    <w:p>
      <w:r>
        <w:rPr>
          <w:b/>
        </w:rPr>
        <w:t>E. 7</w:t>
      </w:r>
    </w:p>
    <w:p>
      <w:r>
        <w:t>Beizufügen ist auch im vorliegenden Fall, dass nach dem zweistufigen Konzept des Umweltschutzgesetzes in erster Linie Emissionen im Rahmen der Vorsorge soweit zu begrenzen sind, als dies technisch und betrieblich möglich und wirtschaftlich tragbar ist ( Art. 11 Abs. 2 USG ; s. hiezu BGE 113 Ib 399 E. 3, BGE 114 Ib 222 E. 4b; BGE 115 Ib 446 ff. und 456 ff.). Erst auf der zweiten Stufe werden Emissionsbegrenzungen verschärft, wenn feststeht oder zu erwarten ist, dass die Einwirkungen unter Berücksichtigung der bestehenden Umweltbelastung schädlich oder lästig werden, d.h. wenn sie die Grenzwerte überschreiten ( Art. 11 Abs. 3 USG ). Diese Zweistufigkeit gilt auch für den Lärmschutz (vgl. Art. 7 Abs. 1 lit. a und b LSV ); Art. 25 USG konkretisiert bloss die Regelung zur zweiten Stufe, setzt aber selbstverständlich die erste Stufe voraus (vgl. ETTLER, a.a.O., N. 45 zu Art. 25 USG ). In erster Linie sind alle möglichen und tragbaren Massnahmen zu treffen. Die zweite Stufe greift - nur subsidiär - dann ein, wenn feststeht oder zu erwarten ist, dass trotzdem die Grenzwerte nicht einzuhalten sind, also Massnahmen der ersten Stufe nicht ausreichen (A. SCHRADE, Kommentar zu Art. 11 USG , N. 44). In diesem Sinne, im Rahmen der Anwendung des Art. 11 Abs. 2 USG , hat sich die Ortsgemeinde Eschlikon anlässlich der bundesgerichtlichen Instruktionsverhandlung zu Verkehrslenkungsmassnahmen - z.B. Verkehrsbeschränkungen auf der Ziegelei- oder Hörnlistrasse - bereit erklärt. Einiges lässt sich nach Angaben der Kantonsvertreter und der Gutachter auch durch eine richtige Anordnung der Bauten erreichen, wozu sich die Gemeinde ebenfalls bereit erklärt hat und wofür die nötigen Rechtsgrundlagen vorhanden sind; durch derartige bauliche Massnahmen liesse sich der Lärm zusätzlich um rund 2-3 dB(A) reduzieren. Zudem hat sich die Gemeinde damit einverstanden erklärt, prüfen zu lassen, ob ein besonderer lärmverhindernder Strassenbelag eingesetzt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