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71</w:t>
      </w:r>
    </w:p>
    <w:p>
      <w:r>
        <w:t>Bundesgericht (BGE), 1990-01-01, DE</w:t>
      </w:r>
    </w:p>
    <w:p>
      <w:r>
        <w:rPr>
          <w:b/>
        </w:rPr>
        <w:t xml:space="preserve">Quelle: </w:t>
      </w:r>
      <w:r>
        <w:t>https://mcp.opencaselaw.ch/entscheid/bge_BGE_116_IV_71</w:t>
      </w:r>
    </w:p>
    <w:p>
      <w:r>
        <w:t>FR: ATF 116 IV 71</w:t>
      </w:r>
    </w:p>
    <w:p>
      <w:r>
        <w:t>IT: DTF 116 IV 71</w:t>
      </w:r>
    </w:p>
    <w:p>
      <w:pPr>
        <w:pStyle w:val="Heading2"/>
      </w:pPr>
      <w:r>
        <w:t>Regeste</w:t>
      </w:r>
    </w:p>
    <w:p>
      <w:r>
        <w:t>Regeste Fahren in angetrunkenem Zustand (Art. 91 Abs. 1 SVG); Beteiligung daran (Art. 24 f. StGB); Überlassen eines Fahrzeugs an eine nicht fahrfähige Person (Art. 2 Abs. 3 VRV). Beim Tatbestand des Fahrens in angetrunkenem Zustand kann nur Täter sein, wer das Fahrzeug führt. Personen, die nicht massgeblich an der Führung des Fahrzeugs beteiligt sind, können lediglich, je nach den konkreten Umständen, wegen Anstiftung oder Gehilfenschaft zu Fahren in angetrunkenem Zustand und/oder wegen Überlassens eines Fahrzeugs an eine nicht fahrfähige Person verurteilt werden (Änderung der Rechtsprechung).</w:t>
      </w:r>
    </w:p>
    <w:p>
      <w:r>
        <w:t>Regeste Conduite en état d'ébriété (art. 91 al. 1 LCR); participation (art. 24 CP); fait de confier un véhicule à un conducteur qui n'est pas en état de conduire (art. 2 al. 3 OCR). Seule la personne qui conduit le véhicule peut être l'auteur de l'infraction de conduite en état d'ébriété. Ceux qui n'ont pas pris une part active à la conduite du véhicule ne peuvent, selon les circonstances, se rendre coupables que d'instigation ou de complicité et/ou de remise d'un véhicule à un conducteur hors d'état de conduire (changement de jurisprudence).</w:t>
      </w:r>
    </w:p>
    <w:p>
      <w:r>
        <w:t>Regesto Guida in stato di ebrietà (art. 91 cpv. 1 LCS); partecipazione (art. 24 CP); fatto di affidare un veicolo a un conducente invabile alla guida (art. 2 cpv. 3 ONCS). Colpevole di guida in stato di ebrietà può essere solo chi conduce il veicolo. Coloro che non hanno avuto una parte attiva nella guida del veicolo possono, secondo le circostanze concrete, rendersi colpevoli soltanto d'istigazione o di complicità in guida in stato di ebrietà e/o di avere affidato un veicolo a un conducente inabile alla guida (cambiamento della giurisprudenza).</w:t>
      </w:r>
    </w:p>
    <w:p>
      <w:pPr>
        <w:pStyle w:val="Heading2"/>
      </w:pPr>
      <w:r>
        <w:t>Erwägungen</w:t>
      </w:r>
    </w:p>
    <w:p>
      <w:r>
        <w:rPr>
          <w:b/>
        </w:rPr>
        <w:t>E. 2</w:t>
      </w:r>
    </w:p>
    <w:p>
      <w:r>
        <w:t>a) Das Obergericht ging unter Berufung auf BGE 98 IV 15 und BGE 113 IV 84 davon aus, dass Mittäterschaft zu Fahren in angetrunkenem BGE 116 IV 71 S. 73 Zustand möglich ist und dass als Mittäter insbesondere der mitzechende Fahrzeughalter qualifiziert werden kann, der seinen Wagen einem angetrunkenen Zechkumpan überlässt und selber im Wagen als Passagier mitfährt. Es sprach die Beschwerdeführerin, die diese Voraussetzungen erfüllte, daher des Fahrens in angetrunkenem Zustand schuldig. Die Beschwerdeführerin leistete nach den weiteren Ausführungen im angefochtenen Entscheid durch die Überlassung ihres Wagens an die angetrunkene W., die zudem, wie die Beschwerdeführerin jedenfalls bei pflichtgemässer Aufmerksamkeit wissen konnte ( Art. 95 Ziff. 1 Abs. 3 SVG ), keinen Führerausweis besass, schuldhaft einen Tatbeitrag, der für den von W. verursachten Verkehrsunfall und dessen Folgen natürlich und adäquat kausal war. ...</w:t>
      </w:r>
    </w:p>
    <w:p>
      <w:r>
        <w:rPr>
          <w:b/>
        </w:rPr>
        <w:t>E. 3</w:t>
      </w:r>
    </w:p>
    <w:p>
      <w:r>
        <w:t>a) Das Bundesgericht hat in BGE 98 IV 11 ff., der die Verurteilung des mit dem angetrunkenen Lenker mitfahrenden Fahrzeughalters wegen fahrlässiger Körperverletzung zum Gegenstand hatte, in einer knappen Erwägung im Zusammenhang mit der Frage der Konkurrenz zwischen Beteiligung an Fahren in angetrunkenem Zustand einerseits und Überlassen eines Fahrzeugs an einen nicht fahrfähigen Führer ( Art. 2 Abs. 3 VRV ) andererseits festgehalten, dass wegen Mittäterschaft zu Fahren in angetrunkenem Zustand nicht nur derjenige zur Rechenschaft zu ziehen sei, der sein Fahrzeug einem angetrunkenen Führer überlässt, sondern beispielsweise auch der für seine Kollegen bestimmende Anführer eines Trinkgelages (S. 15). SCHULTZ warf unter Hinweis auf einen vom Bundesgericht auf die Nichtigkeitsbeschwerde des Verurteilten hin bestätigten Entscheid des Appellationsgerichts des Kantons Basel-Stadt (BJM 1971 S. 192) die Frage auf, ob in solchen Fällen wirklich Mittäterschaft und nicht nur Gehilfenschaft vorliege (ZBJV 109/1973 S. 429; SCHULTZ, Rechtsprechung und Praxis zum Strassenverkehrsrecht in den Jahren 1968-1972, S. 164 oben). Der genannte Autor hält an anderer Stelle fest, dass unter anderem beim Tatbestand des Fahrens in angetrunkenem Zustand nur derjenige Täter sein kann, welcher das Fahrzeug führt (SCHULTZ, Die strafrechtliche Rechtsprechung zum neuen Strassenverkehrsrecht, 1968, S. 217; SCHULTZ, Die Strafbestimmungen des SVG, S. 130). Dieser Auffassung ist mit eingehender Begründung auch REHBERG ("Fremdhändige" Täterschaft bei Verkehrsdelikten? in Lebendiges Strafrecht, Festgabe Schultz 1977, S. 72 ff., 82). Nach der herrschenden Lehre und BGE 116 IV 71 S. 74 Rechtsprechung in Deutschland kann nur der Fahrzeugführer beim Tatbestand der Trunkenheit im Verkehr (§ 316 dt. StGB) Täter sein (JAGUSCH/HENTSCHEL, Strassenverkehrsrecht, 30. Auflage, 1989, N. 34 zu § 316; LEIPZIGER KOMMENTAR (Rüth), 10. Auflage, 1988, N. 122 zu § 316 dt. StGB). Das Bundesgericht hat in BGE 113 IV 84 offengelassen, ob der an der Führung des Fahrzeugs nicht massgeblich Beteiligte Mittäter bei Fahren in angetrunkenem Zustand sein kann; in jenem Fall kam eine Verurteilung wegen Fahrens in angetrunkenem Zustand (als Mittäter) ohnehin nicht in Betracht. b) Das Bundesgericht schliesst sich in Änderung seiner Rechtsprechung der Auffassung an, dass beim Tatbestand des Fahrens in angetrunkenem Zustand Täter nur sein kann, wer das Fahrzeug führt. Ob man diese Straftat als "Sonderdelikt" oder als "eigenhändiges Delikt" qualifizieren will, kann hier dahingestellt bleiben. Art. 91 Abs. 1 und 2 sowie Art. 31 Abs. 2 SVG richten sich erkennbar allein an den Fahrzeugführer. Insoweit besteht kein Unterschied zu Art. 58 MFG, auf den BGE 75 IV 189 E. 1 und auch BGE 68 IV 31 Bezug nehmen. Dass das Verschulden des Dritten angesichts von dessen Tatbeitrag und Interesse an der Fahrt allenfalls mindestens gleich schwer wiegt wie das Verschulden des angetrunkenen Fahrzeugführers, erlaubt es nicht, ihn kurzerhand als Mittäter zu qualifizieren. Die vom angetrunkenen Fahrzeugführer ausgehende Gefahr ist nicht Tatbestandsmerkmal von Art. 91 SVG ; daher kann derjenige, welcher etwa als bestimmender Anführer eines Trinkgelages oder dadurch, dass er sein Fahrzeug einem Angetrunkenen überliess, einen Beitrag zu dieser Gefahr leistete, nicht unter Hinweis darauf als Mittäter zu Fahren in angetrunkenem Zustand verurteilt werden. Der nicht massgeblich an der Führung des Fahrzeugs Beteiligte kann, je nach den Umständen, lediglich als Anstifter oder Gehilfe zu Fahren in angetrunkenem Zustand verurteilt werden. Überlässt er ein Fahrzeug dem Angetrunkenen, so erfüllt er dadurch den Tatbestand von Art. 2 Abs. 3 in Verbindung mit Art. 96 VRV . Dieser Tatbestand kann, je nach den Umständen, zu Anstiftung oder Gehilfenschaft zu Fahren in angetrunkenem Zustand in echter Konkurrenz stehen (vgl. dazu BJM 1971, S. 192). c) Die Beschwerdeführerin erfüllte durch die Überlassung ihres Fahrzeugs an die angetrunkene W. den Tatbestand von Art. 2 Abs. 3 in Verbindung mit Art. 96 VRV . Ob sie darüber hinaus auch den Tatbestand der Anstiftung oder der Gehilfenschaft zu BGE 116 IV 71 S. 75 Fahren in angetrunkenem Zustand erfüllt habe, kann mangels hinreichender diesbezüglicher tatsächlicher Feststellungen im angefochtenen Urteil nicht entschieden werden. Die Sache ist insoweit zur Ergänzung des Sachverhalts und zur neuen Entscheidung an die Vorinstanz zurückzuweisen. Diese wird gegebenenfalls auch darüber zu befinden haben, in welchem Konkurrenzverhältnis das Überlassen des Fahrzeugs an einen nicht fahrfähigen Führer zur allfälligen Teilnahme (Anstiftung oder Gehilfenschaft) zu Fahren in angetrunkenem Zustand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