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230</w:t>
      </w:r>
    </w:p>
    <w:p>
      <w:r>
        <w:t>Bundesgericht (BGE), 1990-01-01, DE</w:t>
      </w:r>
    </w:p>
    <w:p>
      <w:r>
        <w:rPr>
          <w:b/>
        </w:rPr>
        <w:t xml:space="preserve">Quelle: </w:t>
      </w:r>
      <w:r>
        <w:t>https://mcp.opencaselaw.ch/entscheid/bge_BGE_116_IV_230</w:t>
      </w:r>
    </w:p>
    <w:p>
      <w:r>
        <w:t>FR: ATF 116 IV 230</w:t>
      </w:r>
    </w:p>
    <w:p>
      <w:r>
        <w:t>IT: DTF 116 IV 230</w:t>
      </w:r>
    </w:p>
    <w:p>
      <w:pPr>
        <w:pStyle w:val="Heading2"/>
      </w:pPr>
      <w:r>
        <w:t>Regeste</w:t>
      </w:r>
    </w:p>
    <w:p>
      <w:r>
        <w:t>Regeste Art. 31 Abs. 1 SVG, Art. 3 Abs. 1 VRV; Aufmerksamkeit im Strassenverkehr. Das Mass der geforderten Aufmerksamkeit richtet sich nach den gesamten Umständen, wobei entscheidend ist, wo die Grenze des zu erwartenden Verkehrsgeschehens liegt (E. 2a). Bei einer unklaren Situation über den weiteren Verkehrsablauf ist diese Grenze höher anzusetzen und daher eine erhöhte Aufmerksamkeit des Verkehrsteilnehmers gefordert (E. 2b).</w:t>
      </w:r>
    </w:p>
    <w:p>
      <w:r>
        <w:t>Regeste Art. 31 al. 1 LCR, art. 3 al. 1 OCR; attention vouée à la circulation. Le degré d'attention requis doit être déterminé en fonction de l'ensemble des circonstances; de ce point de vue, l'étendue de l'espace sur lequel on peut s'attendre à un événement de circulation est décisif (consid. 2a). Lorsque la manière dont la circulation va se dérouler n'est pas claire, cet espace doit être considéré comme plus étendu, aussi une attention accrue doit-elle être exigée des usagers (consid. 2b).</w:t>
      </w:r>
    </w:p>
    <w:p>
      <w:r>
        <w:t>Regesto Art. 31 cpv. 1 LCS, art. 3 cpv. 1 ONCS; attenzione rivolta alla circolazione. Il grado di attenzione richiesto va determinato in funzione dell'insieme delle circostanze; decisivo è al riguardo l'estensione dello spazio sul quale ci si può attendere un evento della circolazione (consid. 2a). Ove non sia chiaro in che modo si svolgerà la circolazione, tale spazio dev'essere considerato come più esteso e un'attenzione accresciuta dev'essere pretesa da parte degli utenti della strada (consid. 2b)</w:t>
      </w:r>
    </w:p>
    <w:p>
      <w:pPr>
        <w:pStyle w:val="Heading2"/>
      </w:pPr>
      <w:r>
        <w:t>Erwägungen</w:t>
      </w:r>
    </w:p>
    <w:p>
      <w:r>
        <w:rPr>
          <w:b/>
        </w:rPr>
        <w:t>E. 1</w:t>
      </w:r>
    </w:p>
    <w:p>
      <w:r>
        <w:t>Die Vorinstanz bejahte eine Verletzung von Art. 31 Abs. 1 SVG in Verbindung mit Art. 3 Abs. 1 VRV durch den Beschwerdeführer. Sie führt zur Begründung an, insbesondere das Linkshalten ohne Zeichengabe des Kollisionsgegners hätte für den Beschwerdeführer Anlass sein sollen, vorsichtiger zu überlegen, was sich eigentlich vor ihm abspiele; hellseherischer Fähigkeiten hätte es nicht bedurft, um sich zu sagen, es könnte - in Verbindung mit dem beobachteten Bremsmanöver - einen stichhaltigen Grund geben, selber ebenfalls die Geschwindigkeit herabzusetzen, um von der Verkehrssituation, wie immer sie sich entwickle, dann eben nicht überrascht zu werden; dass er das nicht getan, sondern - leichtfertig - darauf vertraut habe, der andere werde wohl irgendwo und irgendwie nach links abbiegen, sei ihm als Aufmerksamkeitsfehler und damit als Verkehrsregelverletzung anzurechnen. Der Beschwerdeführer bestreitet, dass ihm Unaufmerksamkeit vorgeworfen werden könne, umsomehr es ihm nicht möglich gewesen sei, das Verhalten des Kollisionsgegners schlüssig zu interpretieren, er sich jedoch auf dessen Zeichengabe habe verlassen dürfen. Das Abbiegen in den Moosblickweg, welches einer Kehrtwendung von 180o gleichkomme, sei ein derart aussergewöhnliches Manöver, mit dem er vernünftigerweise nicht habe rechnen müssen.</w:t>
      </w:r>
    </w:p>
    <w:p>
      <w:r>
        <w:rPr>
          <w:b/>
        </w:rPr>
        <w:t>E. 2</w:t>
      </w:r>
    </w:p>
    <w:p>
      <w:r>
        <w:t>Die Aufmerksamkeit, die der Fahrzeugführer nach Art. 31 Abs. 1 SVG in Verbindung mit Art. 3 Abs. 1 VRV der Strasse und dem Verkehr zuzuwenden hat, erfordert, dass er die ganze BGE 116 IV 230 S. 232 Strassenbreite mit seinem Blick erfasst und nicht allein das, was sich unmittelbar vor ihm auf seiner Fahrbahnhälfte ereignet. Die Rechtsprechung hat diesen Grundsatz unter bestimmten Bedingungen gemildert und insbesondere festgehalten, die Aufmerksamkeit auf eine Stelle ausserhalb des zu erwartenden Verkehrsgeschehens sei nicht verlangt. Das Mass der Aufmerksamkeit richtet sich nach den gesamten Umständen, namentlich der Verkehrsdichte, den örtlichen Verhältnissen, der Zeit, der Sicht, den voraussehbaren Gefahrenquellen ( BGE 103 IV 104 E. 2b). a) Der Beschwerdeführer wurde unbestrittenermassen durch das Abbiegen des Kollisionsgegners nach rechts überrascht, was heisst, dass er eine solche Fahrweise nicht erwartete. Eine schuldhafte Unaufmerksamkeit liegt vor, wenn er mit einem solchen Fahrmanöver hätte rechnen müssen. Aus der oben genannten Einschränkung der Anforderungen an die Aufmerksamkeit folgt, dass dabei entscheidend ist, wo die Grenzen des zu erwartenden Verkehrsgeschehens liegen (SCHAFFHAUSER, Strassenverkehrsrecht I, N 404). b) Die Vorinstanz stellte für das Bundesgericht verbindlich ( Art. 277bis Abs. 1 BStP ) fest, der Beschwerdeführer habe eigentlich nicht gewusst, was der Kollisionsgegner vorhabe, und sie macht ihm zum Vorwurf, er habe leichtfertig darauf vertraut, der andere werde wohl irgendwo und irgendwie nach links abbiegen. Damit steht fest, dass für den Beschwerdeführer eine unklare Situation über den weiteren Ablauf des Verkehrsgeschehens vorlag. Dies hätte ihn aber zu erhöhter Aufmerksamkeit veranlassen müssen (SCHAFFHAUSER, a.a.O., N 403 und 324); d.h. dass die Grenze des noch zu erwartenden Verkehrsablaufes unter den gegebenen Umständen höher anzusetzen ist. War unklar, welche Bewandtnis es mit dem Linkshalten des Kollisionsgegners und dessen Bremsmanöver hatte, verletzte die Vorinstanz Bundesrecht nicht, wenn sie verlangte, der Beschwerdeführer hätte seine Geschwindigkeit herabsetzen müssen, um von der Verkehrssituation, wie immer sie sich entwickle, nicht überrascht zu werden. Weil ein Linksabbiegen des ihm vorausfahrenden Fahrzeuges mangels entsprechender konkreter Möglichkeit nicht nahelag und vom Beschwerdeführer denn auch nur als wohl irgendwie möglich betrachtet wurde, war das Abbiegen nach rechts, das zum Unfall führte - zumal die rechtsseitige, spitzwinklige Einmündung einer Strasse für den Beschwerdeführer sichtbar war - nicht derart aussergewöhnlich, dass er damit nicht hätte rechnen müssen. Auf BGE 116 IV 230 S. 233 BGE 103 IV 258 E. a kann sich der Beschwerdeführer nicht berufen; die unklare Situation erlaubte nicht, auf die fehlende (rechtzeitige) Zeichengabe zu vertrauen und anzunehmen, der Kollisionsgegner biege nicht nach rechts ab. Die Nichtigkeitsbeschwerde wird somit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