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504</w:t>
      </w:r>
    </w:p>
    <w:p>
      <w:r>
        <w:t>Bundesgericht (BGE), 1990-01-01, FR</w:t>
      </w:r>
    </w:p>
    <w:p>
      <w:r>
        <w:rPr>
          <w:b/>
        </w:rPr>
        <w:t xml:space="preserve">Quelle: </w:t>
      </w:r>
      <w:r>
        <w:t>https://mcp.opencaselaw.ch/entscheid/bge_BGE_116_II_504</w:t>
      </w:r>
    </w:p>
    <w:p>
      <w:r>
        <w:t>FR: ATF 116 II 504</w:t>
      </w:r>
    </w:p>
    <w:p>
      <w:r>
        <w:t>IT: DTF 116 II 504</w:t>
      </w:r>
    </w:p>
    <w:p>
      <w:pPr>
        <w:pStyle w:val="Heading2"/>
      </w:pPr>
      <w:r>
        <w:t>Regeste</w:t>
      </w:r>
    </w:p>
    <w:p>
      <w:r>
        <w:t>Regeste Art. 301 Abs. 4 ZGB und Art. 69 Abs. 1 und 2 ZStV. Eintragung eines Familiennamens (angelsächsischer "middle name") als zweiter Vorname im Geburtsregister. Ein Familienname, der nicht auch als Vorname gebräuchlich ist, kann einem Kind als zweiter Vorname gegeben werden, wenn die Eltern dafür ernsthafte Gründe geltend machen können, die auch objektiv achtenswert sind. Dies trifft zu, wenn sie sich auf eine örtliche, religiöse oder familiäre Tradition berufen können (Präzisierung der Rechtsprechung): Bewilligung des auf Familientradition beruhenden "middle name" "Van Vleck" als zweiter Vorname für eine Tochter, die den ersten Vornamen "Julia" trägt.</w:t>
      </w:r>
    </w:p>
    <w:p>
      <w:r>
        <w:t>Regeste Art. 301 al. 4 CC et art. 69 al. 1 et 2 OEC. Inscription d'un patronyme ("middle name" anglo-saxon) comme second prénom dans le registre des naissances. Un nom de famille qui n'est utilisé que comme patronyme peut être donné à un enfant comme prénom intermédiaire dans la mesure où les parents justifient d'une raison sérieuse, objectivement digne d'être prise en considération, telle qu'une tradition locale, religieuse ou familiale (précision de jurisprudence): admission, en l'espèce, du "middle name" ancestral "Van Vleck" comme second prénom d'une fille, après "Julia".</w:t>
      </w:r>
    </w:p>
    <w:p>
      <w:r>
        <w:t>Regesto Art. 301 cpv. 4 CC e art. 69 cpv. 1 e 2 OSC. Iscrizione nel registro delle nascite di un patronimico ("middle name" anglosassone) quale secondo nome. Un cognome usato solo come patronimico può essere attribuito a un figlio come nome intermedio, in quanto i genitori siano in grado di addurre serie ragioni, obiettivamente meritevoli di essere prese in considerazione, come una tradizione locale, religiosa o familiare (precisazione della giurisprudenza): nella fattispecie è stato ammesso il "middle name" avito "Van Vleck" quale secondo nome, dopo "Julia", di una figlia.</w:t>
      </w:r>
    </w:p>
    <w:p>
      <w:pPr>
        <w:pStyle w:val="Heading2"/>
      </w:pPr>
      <w:r>
        <w:t>Erwägungen</w:t>
      </w:r>
    </w:p>
    <w:p>
      <w:r>
        <w:rPr>
          <w:b/>
        </w:rPr>
        <w:t>E. 2</w:t>
      </w:r>
    </w:p>
    <w:p>
      <w:r>
        <w:t>Enfant de conjoints dont l'un est suisse, Julia Bradley est suisse dès sa naissance ( art. 1er al. 1 let. a LN ); elle possède aussi la nationalité américaine de son père. Comme l'enfant est domiciliée en Suisse, où se trouve le domicile de ses père et mère sous l'autorité parentale desquels elle est placée ( art. 25 al. 1 CC ), son nom est régi par le droit suisse ( art. 37 al. 1 LDIP ). Le fait qu'elle est double nationale n'a pas d'incidence sur ce point (art. 37 al. 2 en relation avec l' art. 23 al. 2 LDIP ).</w:t>
      </w:r>
    </w:p>
    <w:p>
      <w:r>
        <w:rPr>
          <w:b/>
        </w:rPr>
        <w:t>E. 3</w:t>
      </w:r>
    </w:p>
    <w:p>
      <w:r>
        <w:t>a) Aux termes de l' art. 301 al. 4 CC , les père et mère choisissent le prénom de l'enfant. Cette règle est reprise par l' art. 69 OEC (al. 1), dont l'alinéa 2 précise que les prénoms manifestement préjudiciables aux intérêts de l'enfant ou de tiers, notamment les prénoms choquants ou absurdes, sont refusés et qu'il en est de même lorsque le sexe de l'enfant ne ressort pas clairement de son ou de ses prénoms. b) Les recourants font valoir que leur désir de donner à leur fille comme deuxième prénom le "middle name" Van Vleck s'explique, d'une part, par l'usage très fréquent dans les pays anglo-saxons d'avoir deux prénoms (le second, qui sera dans la suite représenté en la forme écrite par une initiale, étant souvent, aux Etats-Unis BGE 116 II 504 S. 507 et au Canada, le nom de jeune fille de la mère de l'enfant) et, d'autre part, par une tradition familiale ancestrale: des Van Vleeck, originaires de Hollande, ont émigré en Amérique en 1680 environ et leur patronyme (orthographié Van Vleck) a passé de génération en génération comme second prénom de leurs descendants. Les recourants produisent un livre (Jane Van Vleck, Ancestry and Descendants of Tielman Van Vleeck of Niew Amsterdam, New York 1955) où on voit notamment que la trisaïeule de l'enfant, Florence Van Vleck, épousa Harold Hall Bradley et que son fils, Hall Van Vleck Bradley, engendra Russ Van Vleck Bradley, qui eut pour fils le recourant Russ Van Vleck Bradley Jr. C'est pour se conformer à "cette tradition intangible" que les recourants disent souhaiter donner à leur fille le second prénom Van Vleck. Ce prénom, ajoutent-ils, n'est ni choquant, ni absurde, et ne viole pas l'intérêt des tiers. c) Dans sa jurisprudence récente, le Tribunal fédéral a expliqué que, si l' art. 69 al. 2 OEC limite les restrictions au minimum, laissant aux parents un large champ de liberté, ceux-ci ne peuvent cependant user de cette liberté que pour le bien de l'enfant, le respect de la personnalité de ce dernier devant prévaloir sur les particularités de la personnalité de ses parents. Il est notamment dans l'intérêt de l'enfant de n'être pas désigné de manière ambiguë, afin de ne pas être exposé aux moqueries et de ne pas connaître de difficultés pour assumer sa masculinité ou sa féminité. Au surplus, le nom étant fait pour désigner la personne et manifester son identité, dont il est le signe, ce signe ne doit pas être trompeur: l'état civil devant précisément ménager l'insertion de la personnalité dans la communauté, l'intérêt des tiers sur ce point ne saurait être sous-estimé; avec l'intérêt de l'enfant lui-même, il impose les restrictions mises à la liberté de choix des parents ( ATF 109 II 96 /97 consid. 7 et les arrêts cités). Au sujet du nom de famille proposé comme prénom intermédiaire, il n'existe que deux arrêts fédéraux publiés. Le premier, de 1945, cité par le Conseil d'Etat à l'appui de sa décision, concerne un enfant dont le père avait proposé comme troisième prénom, après Guy Louis, Mayor, nom de famille de la mère ( ATF 71 I 366 ss). A l'instar des autorités argoviennes, le Tribunal fédéral a refusé l'inscription de ce patronyme comme prénom. Le prénom, a-t-il dit, ne saurait être refusé du seul fait qu'il existe aussi comme nom de famille: des noms comme Arnold, Ernst, Louis, Martin, etc., sont autorisés indifféremment comme BGE 116 II 504 S. 508 noms de famille et comme prénoms, sans inconvénient pour ceux qui les portent ou pour les tiers. Mais le nom Mayor n'est pas utilisé comme prénom. L'admettre comme tel serait créer la confusion et porter atteinte aux intérêts des tiers, d'autant que, à tout le moins pour les Suisses de langue allemande, il se prononce de la même manière qu'un grade militaire. Sans doute, relève le Tribunal fédéral, dans certaines régions de Suisse, notamment dans les Grisons, il est conforme à un vieil usage de donner à l'enfant comme deuxième prénom le nom de famille de sa mère: là où existe cette coutume, le danger n'est pas décisif. Mais un tel usage n'existe pas dans le canton d'Argovie, dont le recourant est originaire et où il est domicilié. Dans le second arrêt, rendu en 1981, il s'agit de parents qui avaient choisi Wiesengrund comme deuxième prénom de leur fils ( ATF 107 II 26 ss). Le Tribunal fédéral a estimé ce prénom inadmissible eu égard au bien de l'enfant et aux intérêts des tiers: Wiesengrund (prairie, vallon) est avant tout la désignation d'une chose; si ce vocable est parfois un nom de famille dans les régions de langue allemande (ce que peu de gens savent), il n'est en tout cas pas un prénom; à cet égard, il convient de le distinguer de noms tels qu'Arnold, Ernst ou Peter, qui sont utilisés comme noms de famille et comme prénoms. d) Dans ses observations, le Département fédéral de justice et police, Office fédéral de la justice, citant cette jurisprudence, estime que l'interprétation traditionnelle de l' art. 69 al. 2 OEC ne permettrait guère d'inscrire le nom intermédiaire Van Vleck, même à titre de second prénom. Mais il est d'avis qu'on pourrait interpréter cette disposition de manière moins restrictive. Il relève, en particulier, que depuis le 1er janvier 1988, date de l'entrée en vigueur du nouveau droit matrimonial, un système plus libéral existe au sujet du nom de famille, en ce sens que la possibilité d'un choix est donnée dans un certain cadre aux personnes concernées: c'est ainsi que des fiancés peuvent être autorisés à porter, dès la célébration du mariage, le nom de la femme comme nom de famille ( art. 30 al. 2 CC ) et que la fiancée peut déclarer à l'officier de l'état civil vouloir conserver le nom qu'elle portait jusqu'alors, suivi du nom de famille ( art. 160 al. 2 CC ; cf. aussi, en cas de nullité de mariage ou de divorce, la faculté accordée à l'époux qui a changé de nom de conserver le nom de famille qu'il a acquis lors du mariage, art. 134 al. 2 et 149 al. 2 CC). A cela s'ajoute l'admission élargie, dès le 1er janvier 1989, date de l'entrée en vigueur de la loi fédérale BGE 116 II 504 S. 509 sur le droit international privé, dans les registres suisses de l'état civil, de noms de famille et de prénoms formés selon le droit étranger ( art. 37, 39 LDIP ). Le Département pense que "cette évolution importante en matière de noms mène également à une application plus libérale du droit suisse des prénoms". e) Du point de vue juridique, le prénom a deux fonctions: d'une part, permettre d'identifier deux personnes portant le même patronyme, au sein de la famille ou au dehors, et, d'autre part, faire connaître le sexe de chacun (F. STURM, Le choix du prénom. La fantaisie des parents et ses limites, REC 1987 p. 294 ss, spéc. p. 302; cf. B. WERLEN, Das schweizerische Vornamensrecht, thèse Bâle 1981, p. 12 et 14 No 3). Mais, selon l'usage, ce double rôle n'est pas impérativement lié à tous les prénoms s'il y en a plusieurs. Dans le Guide des prénoms en Suisse édité par l'Association suisse des officiers de l'état civil, il est seulement exigé qu'un des prénoms des enfants d'une même famille soit spécifique de l'un deux, sans même qu'il soit prescrit que ce soit le premier (éd. 1986, p. 38 in fine; cf. HEGNAUER, n. 59 ad art. 275a CC ; contra: STURM, op.cit., p. 308). D'autre part, si le Tribunal fédéral a dit que le prénom Amel n'était pas admissible pour une fille parce qu'il n'indique pas clairement le sexe de l'enfant, c'est dans un cas où les parents n'entendaient faire inscrire que ce prénom ( ATF 109 II 98 consid. 12); on peut se montrer moins strict quand vient s'ajouter un autre prénom qui dissipe toute confusion. Ainsi, à supposer que, s'agissant d'une fille, Andrea puisse prêter à équivoque parce que, dans les contrées de langue italienne ou rhéto-romanes, il désigne une personne du sexe masculin, il ne donne plus prise à aucune confusion joint à un prénom féminin sans ambiguïté (dans l'espèce Ursula) ( ATF 82 I 35 ); dans les communautés catholiques, les garçons portent souvent le prénom Marie, non seulement en nom composé (tel Jean-Marie), mais aussi comme prénom intermédiaire (Louis Gonzague Frédéric Marie Maurice de Reynold, cf. Dictionnaire historique et biographique de la Suisse, V, Neuchâtel 1930, p. 463 No 52). Enfin, s'agissant de noms de famille utilisés comme patronymes, on a vu qu'il existe dans les Grisons un vieil usage de donner à l'enfant, comme prénom intermédiaire, le patronyme de sa mère et que le Tribunal fédéral a réservé cette coutume: là où elle existe, a-t-il dit, le risque de confusion n'est pas décisif ( ATF 71 I 368 ). Ainsi, pour le choix d'un prénom intermédiaire, la liberté des parents, consacrée par la loi, a un champ plus large encore qu'en BGE 116 II 504 S. 510 matière de prénom unique ou de premier prénom. Il n'est pas indispensable que ce prénom individualise l'enfant, ou indique son sexe. En matière de patronyme, il sied d'assouplir la jurisprudence, trop restrictive en l'état actuel des moeurs, et d'admettre qu'un nom de famille qui n'est utilisé que comme patronyme peut être donné à un enfant comme prénom intermédiaire dans la mesure où les parents justifient d'une raison sérieuse, objectivement digne d'être prise en considération, telle qu'une tradition locale, religieuse, voire familiale. En revanche, un simple engouement, relevant de la pure fantaisie, comme l'admiration pour une personnalité, ne suffit pas (cf. ATF 107 II 28 /29 consid. 2). f) En l'espèce, l'enfant des recourants porte le premier prénom Julia, qui ne laisse aucun doute sur son sexe. Le nom intermédiaire Van Vleck que désirent lui donner ses parents n'est ni choquant ni absurde. Certes, il n'exclut pas la possibilité d'une confusion, en ce sens qu'un tiers (fonctionnaire ou personne privée) pourrait penser que ce patronyme est en réalité le nom de famille de l'intéressée. Mais ce risque n'est pas suffisant pour faire obstacle au libre choix des parents. En effet, si l'Officier de l'état civil de Begnins a commis une erreur en prenant pour nom de famille du fiancé Van Vleck Bradley, cette erreur a pu être facilement corrigée, et tant le livret de famille délivré aux époux par l'Officier de l'état civil de Zermatt que le permis de séjour remis au mari par le Contrôle de l'habitant de Genève indiquent clairement que son nom est Bradley et ses prénoms Russ Van Vleck. Un prénom formé par un nom et une préposition est sans doute assez rare; la rareté n'est toutefois pas un motif suffisant pour le rejeter ( ATF 71 I 367 ). Il y a d'ailleurs tout lieu de penser que l'intéressée ne se servira pas couramment de ce patronyme comme second prénom du fait de l'aspect composé de celui-ci: la particule Van (qui correspond au "de" français et au "von" allemand) la dissuadera vraisemblablement d'utiliser en Suisse ce second prénom dans la vie de tous les jours. L'enfant pourra faire comme son père, qui abrège Van Vleck en V.V. lorsqu'il signe un acte. Il est du reste d'usage de représenter le "middle name" en la forme écrite par une ou des initiales (les recourants se réfèrent, sur ce point, à la rubrique "Names" de la New Encyclopaedia Britannica, vol. 12, 15e éd., 1975, ainsi qu'à GÖTZ, ZBl 1957, p. 173 No V). Ainsi, bien qu'un nom composé tel que Van Vleck ne soit pas particulièrement idoine pour être admis comme prénom intermédiaire, il n'apparaît pas préjudiciable à l'intérêt de l'enfant; au BGE 116 II 504 S. 511 contraire, il relie celle-ci d'une manière tangible à sa famille paternelle, dans le respect d'une tradition ancestrale. Il résulte de ce qui précède qu'il n'existe pas de raison déterminante, au sens de l' art. 69 al. 2 OEC , de ne pas admettre Van Vleck comme second prénom de l'enfant. g) Il convient encore de relever que l'enfant possède aussi la nationalité américaine de son père, de sorte que, si elle était née aux Etats-Unis, où le prénom Van Vleck aurait été inscrit dans le registre de l'état civil par application du droit étranger ( art. 37 al. 1 LDIP ), l'autorité cantonale de surveillance en matière d'état civil, qui décide de l'inscription de ce fait dans le registre suisse des familles, n'aurait pu, de l'avis de l'Office fédéral de la justice, interdire, en se fondant sur l' art. 40 LDIP , la transcription de ce prénom intermédiaire. Le Département fédéral de justice et police, dans la lettre circulaire qu'il a adressée le 11 octobre 1989 aux autorités cantonales de surveillance en matière d'état civil, a rappelé que les noms de famille et les prénoms sont inscrits tels qu'ils figurent dans les actes de l'état civil, conformément à l' art. 43 al. 1 OEC . Les arrêts du Tribunal fédéral cités par l'autorité cantonale ( ATF 106 II 104 ss et 110 II 325 ss) ne sont pas applicables au présent cas, car ils se rapportent, le premier aux flexions que les règles de la langue étrangère imposent en fonction du sexe de l'intéressé, et le second aux accents que comportent les noms de famille d'origine étrangère; ils ne peuvent justifier la décision du Conseil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