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459</w:t>
      </w:r>
    </w:p>
    <w:p>
      <w:r>
        <w:t>Bundesgericht (BGE), 1990-01-01, FR</w:t>
      </w:r>
    </w:p>
    <w:p>
      <w:r>
        <w:rPr>
          <w:b/>
        </w:rPr>
        <w:t xml:space="preserve">Quelle: </w:t>
      </w:r>
      <w:r>
        <w:t>https://mcp.opencaselaw.ch/entscheid/bge_BGE_116_II_459</w:t>
      </w:r>
    </w:p>
    <w:p>
      <w:r>
        <w:t>FR: ATF 116 II 459</w:t>
      </w:r>
    </w:p>
    <w:p>
      <w:r>
        <w:t>IT: DTF 116 II 459</w:t>
      </w:r>
    </w:p>
    <w:p>
      <w:pPr>
        <w:pStyle w:val="Heading2"/>
      </w:pPr>
      <w:r>
        <w:t>Regeste</w:t>
      </w:r>
    </w:p>
    <w:p>
      <w:r>
        <w:t>Regeste Namensparheft; Sorgfaltspflicht einer Bank. Tragweite einer Vertragsklausel, die der Bank erlaubt, den Inhaber eines Sparheftes als Berechtigten zu betrachten. Prüfung des guten Glaubens (Art. 3 ZGB).</w:t>
      </w:r>
    </w:p>
    <w:p>
      <w:r>
        <w:t>Regeste Livret d'épargne "nominatif"; devoir de la banque. Portée d'une clause contractuelle permettant à une banque de réputer titulaire du livret d'épargne le porteur de ce livret. Application des règles de la bonne foi (art. 3 CC).</w:t>
      </w:r>
    </w:p>
    <w:p>
      <w:r>
        <w:t>Regesto Libretto di risparmio "nominativo"; dovere di diligenza della banca. Portata di una clausola contrattuale che consente a una banca di considerare come titolare del libretto di risparmio il portatore di quest'ultimo. Applicazione delle norme sulla buona fede (art. 3 CC).</w:t>
      </w:r>
    </w:p>
    <w:p>
      <w:pPr>
        <w:pStyle w:val="Heading2"/>
      </w:pPr>
      <w:r>
        <w:t>Erwägungen</w:t>
      </w:r>
    </w:p>
    <w:p>
      <w:r>
        <w:rPr>
          <w:b/>
        </w:rPr>
        <w:t>E. 1</w:t>
      </w:r>
    </w:p>
    <w:p>
      <w:r>
        <w:t>Alors que, de manière incontestée, la doctrine reconnaît au carnet d'épargne le caractère d'un titre au porteur imparfait au sens de l'art. 976 CO, le Tribunal fédéral n'a jamais tranché la question (voir JÄGGI/DRUEY/VON GREYERZ, Wertpapierrecht, p. 80 ss, notamment 82, et les références). Dans le cas particulier également, le Tribunal fédéral peut la laisser indécise, le litige pouvant être résolu à la lumière des clauses contractuelles liant les parties et des principes généraux du code des obligations. De toute façon, la notion de bonne foi contenue à l'art. 976 CO n'étant pas différente de celle définie à l'art. 3 CC, la solution demeure inchangée selon que l'une ou l'autre de ces dispositions trouve application. Dans ces conditions, la recourante ne peut pas reprocher à la cour cantonale d'avoir "vidé de son sens" la première disposition citée en appliquant, en lieu et place, la seconde. En définitive, doit seulement être recherché, en l'espèce, si la banque défenderesse, respectivement l'employée du guichet, a fait preuve de l'attention que les circonstances permettent d'exiger d'elle en payant les 15'000 francs litigieux sur simple présentation du carnet d'épargne, sans demander une pièce attestant de l'identité du porteur.</w:t>
      </w:r>
    </w:p>
    <w:p>
      <w:r>
        <w:rPr>
          <w:b/>
        </w:rPr>
        <w:t>E. 2</w:t>
      </w:r>
    </w:p>
    <w:p>
      <w:r>
        <w:t>a) Dans la mesure où il dispense la banque de vérifier l'identité du porteur d'un livret nominatif, le chiffre 3 des "conditions générales" doit être interprété restrictivement; non seulement il a été rédigé par la banque elle-même, mais encore cette disposition permet à l'établissement bancaire d'affaiblir considérablement les garanties de sécurité qu'il est censé fournir à la clientèle lors de dépôts ou de prêts. Pour apprécier l'attention exigée par les circonstances, ne doivent, à cet égard, être perdus de vue ni le contrat à la base du livret d'épargne, ni, surtout, la personne du débiteur; cette dernière présente un aspect sécurisant et protecteur aux yeux du public en général et des créanciers en particulier. Dans ces conditions, le droit de la banque de renoncer à vérifier auprès du porteur sa qualité de créancier ne doit pas être utilisé BGE 116 II 459 S. 462 sans réserve, notamment si les circonstances s'écartent du cours normal des opérations prévues contractuellement ou résultant de la pratique. Ainsi, nonobstant la faculté conférée par des conditions générales, tant les règles de la bonne foi que la nature du contrat exigent que la banque se montre vigilante lors de toute opération sortant - même modestement - de l'ordinaire; eu égard au principe de la bonne foi, elle ne peut sans autre se réfugier derrière une clause lui permettant de ne pas vérifier l'identité du porteur d'un livret nominatif. b) Or, en l'espèce, l'opération litigieuse présentait la particularité, déjà insolite, que le montant demandé par le porteur du livret dépassait la limite fixée par la banque dans ses "conditions générales" pour les retraits sans préavis. Certes, une telle limite a été prévue en faveur de la banque, qui pouvait donc y renoncer. Mais cette limitation ne reste pas sans effet sur la clientèle; cette dernière peut en déduire qu'elle ne sera pas dépassée sans l'accord du titulaire du livret. En réalité, comme il s'agit d'une modification des conditions du contrat, l'accord du client cocontractant doit être dûment reconnu et constaté par la banque. Et cela n'est possible qu'en vérifiant l'identité du porteur, qui doit être le titulaire lui-même ou un représentant autorisé. Au vu des particularités de l'espèce, la cour cantonale a jugé, avec raison, que l'employée de la recourante n'avait pas agi avec la circonspection exigée par les circonstances. La banque n'est ainsi pas libérée par le paiement de 15'000 francs fait en main d'une personne non autorisée à disposer de l'avoir en compte de l'intimé. La dette de la recourante envers son client doit être reconnue pour la totalité des 15'000 francs, puisque, selon les constatations de fait, si l'employée avait demandé au porteur une pièce d'identité, celui-ci aurait été démasqué.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