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431</w:t>
      </w:r>
    </w:p>
    <w:p>
      <w:r>
        <w:t>Bundesgericht (BGE), 1990-01-01, DE</w:t>
      </w:r>
    </w:p>
    <w:p>
      <w:r>
        <w:rPr>
          <w:b/>
        </w:rPr>
        <w:t xml:space="preserve">Quelle: </w:t>
      </w:r>
      <w:r>
        <w:t>https://mcp.opencaselaw.ch/entscheid/bge_BGE_116_II_431</w:t>
      </w:r>
    </w:p>
    <w:p>
      <w:r>
        <w:t>FR: ATF 116 II 431</w:t>
      </w:r>
    </w:p>
    <w:p>
      <w:r>
        <w:t>IT: DTF 116 II 431</w:t>
      </w:r>
    </w:p>
    <w:p>
      <w:pPr>
        <w:pStyle w:val="Heading2"/>
      </w:pPr>
      <w:r>
        <w:t>Regeste</w:t>
      </w:r>
    </w:p>
    <w:p>
      <w:r>
        <w:t>Regeste Streitwert (Art. 46 OG). Täuschung (Art. 28 OR). Kaufvertrag; Auslegung nach dem Vertrauensgrundsatz. 1. Streitwert der Wandelungsklage (Art. 46 OG) (E. 1). 2. Das Verschweigen von Tatsachen ist nur dann ein täuschendes Verhalten, wenn eine Aufklärungspflicht besteht (E. 3a). Bei der Auslegung eines Begriffs nach dem Vertrauensprinzip ist allein entscheidend, welches Wissen ein Vertragspartner beim anderen nach Treu und Glauben voraussetzen darf. Meinungen von Experten und Amtsstellen sind unbeachtlich (E. 3b).</w:t>
      </w:r>
    </w:p>
    <w:p>
      <w:r>
        <w:t>Regeste Valeur litigieuse (art. 46 OJ). Dol (art. 28 CO). Contrat de vente; interprétation selon le principe de la confiance. 1. Valeur litigieuse de l'action rédhibitoire (art. 46 OJ) (consid. 1). 2. Passer sous silence des faits ne peut constituer un comportement dolosif que s'il existe un devoir d'information (consid. 3a). Pour l'interprétation d'une notion selon le principe de la confiance est seule décisive la connaissance que peut prêter un cocontractant à l'autre selon la bonne foi. Des avis d'experts ou de services officiels sont irrelevants (consid. 3b).</w:t>
      </w:r>
    </w:p>
    <w:p>
      <w:r>
        <w:t>Regesto Valore litigioso (art. 46 OG). Dolo (art. 28 CO). Contratto di compravendita; interpretazione secondo il principio della buona fede. 1. Valore litigioso dell'azione redibitoria (art. 46 OG) (consid. 1). 2. Il sottacere determinati fatti costituisce un comportamento doloso solo se sussiste un obbligo d'informazione (consid. 3a). Per l'interpretazione di una nozione secondo il principio della buona fede è esclusivamente determinante la conoscenza che una parte del contratto può presumere secondo buona fede come esistente nella controparte. Le opinioni di periti e di servizi ufficiali sono irrilevanti (consid. 3b).</w:t>
      </w:r>
    </w:p>
    <w:p>
      <w:pPr>
        <w:pStyle w:val="Heading2"/>
      </w:pPr>
      <w:r>
        <w:t>Erwägungen</w:t>
      </w:r>
    </w:p>
    <w:p>
      <w:r>
        <w:rPr>
          <w:b/>
        </w:rPr>
        <w:t>E. 1</w:t>
      </w:r>
    </w:p>
    <w:p>
      <w:r>
        <w:t>Gemäss Art. 46 OG ist die Berufung nur zulässig, wenn der Streitwert nach Massgabe der Rechtsbegehren, wie sie vor der letzten kantonalen Instanz noch streitig waren, wenigstens Fr. 8'000.-- beträgt. Der Wert des Streitgegenstandes wird dabei durch das klägerische Rechtsbegehren bestimmt ( Art. 36 Abs. 1 OG ). Der Streitwert für das Berufungsverfahren bemisst sich nach dem Interesse, das für die Parteien unmittelbar vor der angefochtenen kantonalen Entscheidung auf dem Spiele stand, wie denn auch in materiellrechtlicher Beziehung in der Berufungsinstanz der Tatbestand zu beurteilen ist, wie er der letzten kantonalen Instanz vorlag, und neue Tatsachen nicht berücksichtigt werden können ( BGE 89 II 198 mit Hinweis). In der Regel entscheidet das Interesse des Klägers an der Leistung (BIRCHMEIER, Bundesrechtspflege, S. 41). Verändert sich im Verlaufe des Prozesses der Klageumfang, so ist diesem Umstand bei der Frage nach der Berufungsfähigkeit ebenso wie bei den Kosten Rechnung zu tragen. Hingegen hat eine Wertveränderung des Streitgegenstandes keinen Einfluss auf den Streitwert ( BGE 87 II 192 mit Hinweisen). In der Durchführungserklärung vom 5. Oktober 1988 zuhanden des Obergerichts hielt die Klägerin an dem von ihr vor Bezirksgericht gestellten Antrag auf vollumfänglichen Klageschutz fest. Die Beklagte schloss auf Abweisung der Klage. Nach verbindlicher Feststellung im vorinstanzlichen Urteil ( Art. 63 Abs. 2 OG ) blieb die Klägerin auch an der Hauptverhandlung bei ihrem Hauptantrag und erhöhte lediglich den mit dem Eventualbegehren verlangten Schadenersatz von 4'000 auf 6'000 Franken. Der Streitwert entspricht demnach entgegen der BGE 116 II 431 S. 434 Auffassung der Klägerin dem Betrag des mit dem Hauptbegehren zurückgeforderten Kaufpreises von Fr. 14'640.--, ohne Berücksichtigung des Wertes des Zug um Zug herauszugebenden Kaufsobjektes ( BGE 45 II 101 ). Auf die Berufung ist deshalb einzutreten.</w:t>
      </w:r>
    </w:p>
    <w:p>
      <w:r>
        <w:rPr>
          <w:b/>
        </w:rPr>
        <w:t>E. 3</w:t>
      </w:r>
    </w:p>
    <w:p>
      <w:r>
        <w:t>Das Obergericht ging gestützt auf die von der ersten Instanz veranlassten Expertise davon aus, dass ein ungebrauchtes Fahrzeug mit einer Standzeit von mehr als einem Jahr wegen möglicher Standschäden nicht mehr als fabrikneu verkauft werden dürfe, ohne das Herstellungs- bzw. Modelljahr und/oder das Verzollungsdatum anzugeben. Da die Beklagte gewusst habe, dass das Fahrzeug im November 1978 in die Schweiz eingeführt worden sei, habe sie ihre Offenbarungspflicht als Verkäuferin verletzt und damit einen Gewährsmangel des Kaufgegenstandes arglistig verschwiegen. Da eine absichtliche Täuschung vorliege, seien die Gewährleistungsansprüche der Klägerin gemäss Art. 210 Abs. 3 OR noch nicht verjährt. Weil die Klägerin das Fahrzeug während mehrerer Jahre benutzt habe, sei eine Rückgängigmachung des Kaufvertrages unmöglich, was jedoch Schadenersatzansprüche gemäss Art. 31 Abs. 3 OR nicht ausschliesse. a) Ein täuschendes Verhalten nach Art. 28 OR besteht in einer Vorspiegelung falscher Tatsachen oder im Verschweigen von Tatsachen (BUCHER, Schweizerisches Obligationenrecht, Allgemeiner Teil, 2. Aufl. 1988, S. 218 f.). Tatsachenverschweigung ist nur verpönt, soweit eine Aufklärungspflicht besteht; eine solche kann sich aus besonderer gesetzlicher Vorschrift und aus Vertrag ergeben, oder wenn eine Mitteilung nach Treu und Glauben und den herrschenden Anschauungen geboten ist. Wann dies zutrifft, ist im konkreten Einzelfall zu bestimmen (BUCHER, a.a.O., S. 220). Keine Offenbarungspflicht besteht, wenn der Verkäufer nach Treu und Glauben annehmen durfte, die Gegenpartei werde den richtigen Sachverhalt ohne weiteres erkennen (GIGER, Berner Kommentar, N. 43 zu Art. 199 OR ). Was die Parteien unter der Bezeichnung "fabrikneu/neu" in guten Treuen verstehen durften und mussten, ist nach dem Vertrauensprinzip auszulegen ( BGE 113 II 50 ; BGE 112 II 253 E. c je mit weiteren Hinweisen). Dabei ist nicht, wie dies die beiden Vorinstanzen getan haben, auf eine Branchenusanz abzustellen, da die Klägerin offensichtlich nicht dem entsprechenden Verkehrskreis angehört. Die objektivierte Auslegung nach dem Vertrauensprinzip hat in diesem Fall ausschliesslich aus der Sicht eines vernünftig BGE 116 II 431 S. 435 und redlich urteilenden Menschen zu erfolgen (SCHÖNENBERGER/JÄGGI, N. 195 zu Art. 1 OR ). Für die Beantwortung dieser Rechtsfrage kann daher nicht ein fachtechnisches Gutachten ausschlaggebend sein. Die objektivierte Auslegung hätte nur dann hinter einem abweichenden subjektiven Verständnis zurückzutreten, wenn die Parteien übereinstimmend den Begriff der Fabrikneuheit anders, beispielsweise im Sinne von "ungebraucht" verstanden hätten, oder der Klägerin bewusst gewesen wäre, dass sie ein Exemplar eines früheren Produktionsjahres erwirbt. b) Die Beklagte bestreitet, dass der Tatbestand von Art. 210 Abs. 3 OR erfüllt sei. Sie begründet dies hauptsächlich damit, ihr sei nicht bewusst gewesen, dass sie das Fahrzeug nicht als "fabrikneu/neu" hätte bezeichnen dürfen. Gemäss einer Verfügung des EJPD vom 29. Mai 1967 an die für den Strassenverkehr zuständigen Direktionen der Kantone gelte ein Fahrzeug als neu, das vor der Immatrikulation in der Schweiz nicht einen Kilometerstand von mehr als 1000 km aufweise. Da sie von diesem amtlichen Neuheitsbegriff ausgegangen sei, könne ihr keine willentliche Täuschung unterstellt werden. Diese Auffassung ist verfehlt. Bei der Auslegung eines Ausdrucks oder Sprachgebrauchs nach dem Vertrauensprinzip kommt es nicht darauf an, was Experten oder Amtsstellen darunter verstehen. Entscheidend ist allein, welches Wissen ein Vertragspartner im betreffenden Verkehrskreis beim anderen nach Treu und Glauben voraussetzen darf. Die Beklagte durfte nicht annehmen, dass die branchenfremde Klägerin die erwähnte Sondernorm, die an die Importeure und Hersteller von Motorfahrzeugen gerichtet ist, kenne. Das Nichtwissen der Klägerin war deshalb ohne Belang. Dagegen wusste die Beklagte, dass sie ein fast drei Jahre altes Fahrzeug verkaufte. Allein schon wegen der bei Massenfahrzeugen auch ohne Benutzung jährlich zunehmenden Wertverminderung, aber auch weil der Wert eines Fahrzeugs nicht unwesentlich von seinem Alter abhängt, wäre die Beklagte verpflichtet gewesen, die Klägerin hierüber aufzuklären. Gemäss deutscher Rechtsprechung und Lehre kann ein Fahrzeug, das zehn bis zwölf Monate vor dem Verkauf hergestellt worden und das, abgesehen von der Überführungsfahrt, nicht benutzt worden war, nur dann als fabrikneu bezeichnet werden kann, wenn dieses Modell weiterhin hergestellt wird und wenn das Fahrzeug keine Mängel aufweist (BGH NJW 1980, S. 1097). Auch im Lichte dieser Rechtsprechung hat die Beklagte sich unredlich verhalten, indem sie das Fahrzeug im BGE 116 II 431 S. 436 Kaufvertrag als "fabrikneu/neu" bezeichnete, obwohl es annähernd drei Jahre alt war seit 1980 nicht mehr hergestellt wurde. c) Den auch in der Berufung erhobenen Einwand, dass die Klägerin zwischen einem älteren und zwei Modellen des Jahrgangs 1981 habe auswählen können, hat das Bundesgericht bereits im Beschwerdeentscheid als rechtlich unerheblich zurückgewiesen, so dass sich eine Stellungnahme dazu im Berufungsverfahren erübrigt. Soweit die Berufungsvorbringen auf die Rüge hinauslaufen, die Vorinstanz habe in willkürlicher antizipierter Beweiswürdigung angenommen, die neu eingereichten Urkunden vermöchten am Auslegungsergebnis nichts zu ändern, ist darauf im Berufungsverfahren ohnehin nicht einzutreten ( Art. 43 Abs. 1 OG a.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