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428</w:t>
      </w:r>
    </w:p>
    <w:p>
      <w:r>
        <w:t>Bundesgericht (BGE), 1990-01-01, DE</w:t>
      </w:r>
    </w:p>
    <w:p>
      <w:r>
        <w:rPr>
          <w:b/>
        </w:rPr>
        <w:t xml:space="preserve">Quelle: </w:t>
      </w:r>
      <w:r>
        <w:t>https://mcp.opencaselaw.ch/entscheid/bge_BGE_116_II_428</w:t>
      </w:r>
    </w:p>
    <w:p>
      <w:r>
        <w:t>FR: ATF 116 II 428</w:t>
      </w:r>
    </w:p>
    <w:p>
      <w:r>
        <w:t>IT: DTF 116 II 428</w:t>
      </w:r>
    </w:p>
    <w:p>
      <w:pPr>
        <w:pStyle w:val="Heading2"/>
      </w:pPr>
      <w:r>
        <w:t>Regeste</w:t>
      </w:r>
    </w:p>
    <w:p>
      <w:r>
        <w:t>Regeste Forderungen aus Handwerksarbeit; Verjährung. - Begriff der Handwerksarbeit im Sinne von Art. 128 Ziff. 3 OR (E. 1). - Langes Zuwarten mit der Geltendmachung einer Forderung ist nicht generell rechtsmissbräuchlich (E. 2).</w:t>
      </w:r>
    </w:p>
    <w:p>
      <w:r>
        <w:t>Regeste Créance de l'artisan; prescription. - Notion du travail de l'artisan au sens de l'art. 128 ch. 3 CO (consid. 1). - Celui qui tarde avant de faire valoir sa créance en justice n'abuse en principe pas de son droit (consid. 2).</w:t>
      </w:r>
    </w:p>
    <w:p>
      <w:r>
        <w:t>Regesto Credito per lavoro d'artigiano; prescrizione. - Nozione di lavoro d'artigiano ai sensi dell'art. 128 n. 3 CO (consid. 1). - Chi tarda a far valere il suo credito non abusa, di per sé, del suo diritto (consid. 2).</w:t>
      </w:r>
    </w:p>
    <w:p>
      <w:pPr>
        <w:pStyle w:val="Heading2"/>
      </w:pPr>
      <w:r>
        <w:t>Erwägungen</w:t>
      </w:r>
    </w:p>
    <w:p>
      <w:r>
        <w:rPr>
          <w:b/>
        </w:rPr>
        <w:t>E. 1</w:t>
      </w:r>
    </w:p>
    <w:p>
      <w:r>
        <w:t>Das Obergericht stellt sich auf den Standpunkt, der Anspruch der Klägerin sei verjährt, da er als Forderung aus Handwerksarbeit nach Art. 128 Abs. 3 OR einer fünfjährigen Verjährungsfrist unterliege. Die Klägerin erblickt darin eine Verletzung von Bundesrecht. a) Massgebliches Kriterium für die Anwendbarkeit der fünfjährigen Verjährungsfrist von Art. 128 Ziff. 3 OR ist einzig der Charakter der Arbeit, zu der sich der Unternehmer nach dem Inhalt des konkreten Werkvertrages verpflichtet hat, wobei es keine Rolle spielt, ob die Arbeit von einem Handwerker im herkömmlichen Sinn erbracht wird (BECKER, Berner Kommentar, N. 9 zu Art. 128 OR ; SJZ 64, S. 308 Nr. 170); unbeachtlich ist auch, ob der Unternehmer die Arbeit allein oder mit Hilfspersonen ausführt oder gar durch Subunternehmer ausführen lässt (GAUCH, Der Werkvertrag, 3. Aufl. 1985, Nr. 874; RBOG 1986, S. 56). Nach der bundesgerichtlichen Rechtsprechung ist Handwerksarbeit dadurch gekennzeichnet, dass die manuelle Tätigkeit die übrigen Leistungen, insbesondere die maschinellen und organisatorischen BGE 116 II 428 S. 430 oder administrativen, überwiegt oder zumindest aufwiegt ( BGE 109 II 115 E. 2c). Das entspricht auch dem allgemeinen Sprachgebrauch, wonach unter Handwerk eine gewerbliche Tätigkeit zu verstehen ist, die im wesentlichen mit der Hand und unter Benutzung einfacher Werkzeuge und Geräte ausgeübt wird und die Bearbeitung oder Verarbeitung von Stoffen bezweckt; der Verwendung von Maschinen sind dabei eher enge Grenzen gesetzt (unveröffentlichtes Urteil vom 25. Februar 1986 i.S. Konkursmasse G. AG gegen L. &amp; Cie, E. 2b mit Hinweis auf Herders Standard Lexikon, Freiburg i.Br. 1960, Der Grosse Brockhaus, Wiesbaden 1954, Schweizer Lexikon 1946, je unter Handwerk). Die handwerkliche Einzelanfertigung steht mithin im Gegensatz zur Lieferung industrieller Serienprodukte. Dass der Hände Werk durch Maschinen unterstützt wird, wie dies mehr und mehr der Fall ist, steht allerdings der Annahme von Handwerksarbeit nicht grundsätzlich entgegen; doch muss es nach der angewandten Arbeitsweise immer auch - und zwar in erheblichem Mass - auf das handwerkliche Können ankommen (GAUCH in BR 1986, S. 17, Anmerkung zu den Entscheiden Nrn. 10 und 11). Auch die Verwendung von normierten Materialien schliesst den handwerklichen Charakter einer Leistung nicht von vornherein aus; wer vorfabrizierte Stäbe auf die erforderliche Länge zuschneidet und zu Bilderrahmen verarbeitet, leistet ebenso Handwerksarbeit wie der Schreiner, der aus Normbrettern individuell ausgemessene Tablare schneidet und diese als Büchergestell an eine Wand schlägt. Wenn sich hingegen die Tätigkeit eines Unternehmers darin erschöpft, dass er Normfenster, Normtüren oder sonstige Norm-Elemente liefert und an ihrem Bestimmungsort montiert, kann sie nicht mehr als handwerklich gelten, erscheint hier doch die Montage als blosse Nebenleistung zur Lieferung serienmässig hergestellter Fertigprodukte, steht mithin nicht die manuelle Arbeitsleistung, sondern der Verkauf von Produkten aus industrieller Fertigung im Vordergrund (vgl. BUCHER, Schweizerisches Obligationenrecht, Allgemeiner Teil, 2. Aufl. 1988, S. 457 Anm. 68; SJZ 64, S. 308 f. Nr. 170). b) Nach den verbindlichen Feststellungen der Vorinstanz hat die Klägerin zwar die von ihr gelieferten Normtüren jeweils auch am Bau angepasst; das geht jedoch über das blosse Montieren nicht wesentlich hinaus. Im Gesamtrahmen kann auch nicht ausschlaggebend sein, dass einzelne Spezialtüren auf Mass anzufertigen waren; als Wesenskern der Vertragsleistung der Klägerin BGE 116 II 428 S. 431 erscheint insgesamt doch die Lieferung und Montage von Normtüren. Unter diesen Umständen die von der Klägerin erbrachte Leistung als Handwerksarbeit im Sinne von Art. 128 Abs. 3 OR zu bezeichnen, geht umso weniger an, als diese Bestimmung gegenüber Art. 127 OR eine Ausnahmevorschrift darstellt und nach der Rechtsprechung deshalb eng auszulegen ist ( BGE 109 II 115 ).</w:t>
      </w:r>
    </w:p>
    <w:p>
      <w:r>
        <w:rPr>
          <w:b/>
        </w:rPr>
        <w:t>E. 2</w:t>
      </w:r>
    </w:p>
    <w:p>
      <w:r>
        <w:t>Unbegründet ist der Einwand der Beklagten, das lange Zuwarten der Klägerin mit der Klageeinleitung sei rechtsmissbräuchlich. Davor, dass er zu einer Zeit in Anspruch genommen wird, zu der er den Untergang einer wirklich oder die Mängel einer scheinbar entstandenen Forderung nicht mehr beweisen kann, schützen den Schuldner die gesetzlichen Verjährungsfristen (SPIRO, Die Begrenzung privater Rechte durch Verjährungs-, Verwirkungs- und Fatalfristen, Bd. I, S. 9); diese Fristen auf dem Umweg über Art. 2 ZGB generell zu verkürzen, geht nicht an. Rechtsmissbrauch fällt dem Gläubiger, der mit der Geltendmachung eines Anspruchs lange zuwartet, nur zur Last, wenn weitere Umstände hinzutreten, die das Zuwarten als Verstoss gegen Treu und Glauben erscheinen lassen ( BGE 94 II 41 E. 6b und c). Solche Umstände macht die Beklagte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