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320</w:t>
      </w:r>
    </w:p>
    <w:p>
      <w:r>
        <w:t>Bundesgericht (BGE), 1990-01-01, DE</w:t>
      </w:r>
    </w:p>
    <w:p>
      <w:r>
        <w:rPr>
          <w:b/>
        </w:rPr>
        <w:t xml:space="preserve">Quelle: </w:t>
      </w:r>
      <w:r>
        <w:t>https://mcp.opencaselaw.ch/entscheid/bge_BGE_116_II_320</w:t>
      </w:r>
    </w:p>
    <w:p>
      <w:r>
        <w:t>FR: ATF 116 II 320</w:t>
      </w:r>
    </w:p>
    <w:p>
      <w:r>
        <w:t>IT: DTF 116 II 320</w:t>
      </w:r>
    </w:p>
    <w:p>
      <w:pPr>
        <w:pStyle w:val="Heading2"/>
      </w:pPr>
      <w:r>
        <w:t>Regeste</w:t>
      </w:r>
    </w:p>
    <w:p>
      <w:r>
        <w:t>Regeste Art. 718 Abs. 1 OR. Vertretungsmacht des Verwaltungsrates einer überschuldeten Aktiengesellschaft. Die in Art. 718 Abs. 1 OR vorgesehene Beschränkung der Vertretungsmacht kann nicht mehr ausschliesslich massgebend sein, wenn der Gesellschaftszweck zufolge Konkursreife der Gesellschaft ohnehin nicht mehr zu erreichen ist. Sind einschneidende Massnahmen zur Erhaltung des Betriebes dringend geboten, verunmöglichen aber besondere Umstände eine rechtzeitige Beschlussfassung durch die Generalversammlung, so rechtfertigt es sich ausnahmsweise, dem Verwaltungsrat den nötigen Handlungsspielraum zuzugestehen und seine Vertretungsmacht entsprechend zu erweitern (E. 3).</w:t>
      </w:r>
    </w:p>
    <w:p>
      <w:r>
        <w:t>Regeste Art. 718 al. 1 CO. Pouvoirs de représentation du conseil d'administration d'une société anonyme insolvable. On ne peut plus s'en tenir exclusivement à la limitation des pouvoirs de représentation, prévue à l'art. 718 al. 1 CO, lorsque le but social ne peut plus être atteint parce que la société est au bord de la faillite. Si la survie de l'entreprise commande, de toute urgence, des mesures radicales, mais que des circonstances spéciales empêchent l'assemblée générale de les prendre en temps utile, il se justifie, à titre exceptionnel, de donner au conseil d'administration la liberté d'action nécessaire et d'étendre de manière appropriée ses pouvoirs de représentation (consid. 3).</w:t>
      </w:r>
    </w:p>
    <w:p>
      <w:r>
        <w:t>Regesto Art. 718 cpv. 1 CO. Poteri di rappresentanza del consiglio di amministrazione di una società anonima insolvente. Non ci si può attenere esclusivamente alla limitazione dei poteri di rappresentanza stabilita nell'art. 718 cpv. 1 CO laddove lo scopo sociale non possa più essere realizzato per trovarsi la società al bordo del fallimento. Se per mantenerne l'esercizio siano necessarie misure radicali urgenti, ma circostanze particolari impediscano all'assemblea generale di adottarle tempestivamente, si giustifica di accordare, a titolo eccezionale, al consiglio di amministrazione la libertà d'azione necessaria e di estendere in modo corrispondente i suoi poteri di rappresentanza (consid. 3).</w:t>
      </w:r>
    </w:p>
    <w:p>
      <w:pPr>
        <w:pStyle w:val="Heading2"/>
      </w:pPr>
      <w:r>
        <w:t>Erwägungen</w:t>
      </w:r>
    </w:p>
    <w:p>
      <w:r>
        <w:rPr>
          <w:b/>
        </w:rPr>
        <w:t>E. 3</w:t>
      </w:r>
    </w:p>
    <w:p>
      <w:r>
        <w:t>Nach Art. 718 Abs. 1 OR sind die zur Vertretung befugten Personen ermächtigt, im Namen der Aktiengesellschaft alle Rechtshandlungen vorzunehmen, die der Gesellschaftszweck mit sich bringen kann. Der Appellationshof hält im angefochtenen Urteil fest, die Veräusserung sämtlicher Aktiven des Unternehmens durch den Verwaltungsrat liege zwar nicht mehr im Rahmen des Gesellschaftszwecks; aufgrund der besonderen Umstände des vorliegenden Falles sei das Vorgehen des Verwaltungsrates der Kammgarnspinnerei Interlaken AG aber dennoch gerechtfertigt gewesen. Nach Ansicht der Klägerin verstösst diese Auffassung gegen Bundesrecht. BGE 116 II 320 S. 323 a) Die Vorschrift von Art. 718 Abs. 1 OR wird in Lehre und Rechtsprechung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111 II 288 f.; BGE 96 II 444 f., je mit Hinweisen; BÜRGI, Zürcher Kommentar, N. 3 zu Art. 718 OR ; MEIER-HAYOZ/FORSTMOSER, Grundriss des schweizerischen Gesellschaftsrechts, 6. Aufl. 1989, S. 288 f.; VON GREYERZ, SPR VIII/2, S. 210). Die Veräusserung des gesamten Betriebes mit allen Aktiven der Gesellschaft liegt indessen nach der bundesgerichtlichen Rechtsprechung grundsätzlich auch nicht mehr innerhalb dieses weit umschriebenen Rahmens durch den Gesellschaftszweck gedeckter Rechtshandlungen (unveröffentlichtes Urteil vom 7. April 1989 i.S. C.); dem Verwaltungsrat ist es grundsätzlich verwehrt, in eigener Kompetenz das ganze Unternehmen zu veräussern. Besondere Umstände können jedoch eine andere Betrachtungsweise rechtfertigen. Die Beschränkung der Vertretungsmacht auf Rechtshandlungen, die der Verfolgung des Gesellschaftszwecks dienen können, kann dann nicht mehr massgebend sein, wenn dieser zufolge Konkursreife der Gesellschaft ohnehin nicht mehr zu erreichen ist. Diesfalls muss es zulässig sein, die Vertretungsmacht an anderen Kriterien zu orientieren, insbesondere an den Interessen der Beschäftigten und der übrigen Gläubiger sowie am Allgemeinwohl (vgl. THALMANN, Die Treuepflicht der Verwaltung der Aktiengesellschaft, Diss. Bern 1975, S. 31 ff.). Ist die Aufgabe des ursprünglichen Unternehmenszwecks zufolge Überschuldung der Gesellschaft unausweichlich, so haben deren Organe das Recht und - zumindest moralisch - auch die Pflicht, in anderer Hinsicht drohenden Schaden soweit möglich zu verhindern oder zu begrenzen; es gilt, für die Betroffenen zu retten, was noch zu retten ist. Dazu können insbesondere auch geeignete Massnahmen zur Erhaltung des Betriebes dienen. Angesichts der kurzen gesetzlichen Einberufungsfrist ( Art. 700 Abs. 1 OR ) wird es im Regelfall allerdings auch hier möglich sein, die nötigen Beschlüsse durch eine Generalversammlung fassen zu lassen. Soweit das der Fall ist, ist - insbesondere bei Beschlüssen mit erheblicher Tragweite - dieser Weg zu wählen. Eine BGE 116 II 320 S. 324 Erweiterung der in Art. 718 Abs. 1 OR vorgesehenen Vertretungsmacht des Verwaltungsrates kann sich nur rechtfertigen, wenn einerseits unverzügliches Handeln dringend geboten ist, anderseits aber besondere Umstände eine rechtzeitige Beschlussfassung durch die Generalversammlung als grundsätzlich zuständiges Organ verunmöglichen. b) Der Appellationshof hat in tatsächlicher Hinsicht festgestellt, die Kammgarnspinnerei Interlaken AG sei im August 1983 massiv überschuldet gewesen. An diese Feststellung, die die Klägerin in ihrer staatsrechtlichen Beschwerde erfolglos angefochten hat, ist das Bundesgericht im Berufungsverfahren gebunden ( Art. 63 Abs. 2 OG ). Ist somit davon auszugehen, dass die Gesellschaft im massgeblichen Zeitpunkt konkursreif war, so kann nach dem Gesagten für die Vertretungsmacht ihrer Organe der - ohnehin nicht mehr zu erreichende - Gesellschaftszweck nicht mehr das entscheidende Kriterium sein. Aus den Feststellungen im angefochtenen Urteil geht überdies hervor, dass die Höhe der Überschuldung ein weiteres Zuwarten nicht mehr zuliess, zumal die Gebrüder Steger, die bereit waren, den Betrieb fortzuführen, ihr Übernahmeinteresse bis Ende August 1983 limitiert hatten; an einer solchen Fortführung aber bestand auf seiten der Arbeitnehmerschaft und der Öffentlichkeit unbestrittenermassen ein gewichtiges Interesse. Gleichzeitig war die Zuständigkeit an der Hälfte der Aktien und damit die entsprechende Stimmberechtigung streitig und Gegenstand einer gerichtlichen Auseinandersetzung; bei Stimmberechtigung der Klägerin wären sich zudem zwei Inhaber von je 50% der Aktien gegenübergestanden, so dass angesichts dieser Pattsituation das Zustandekommen eines Mehrheitsbeschlusses an einer Generalversammlung ohnehin nicht hätte erwartet werden können. Unter diesen Umständen erscheint es durchaus sachgerecht, dass der Appellationshof dem Verwaltungsrat den gebotenen Handlungsspielraum zugestanden hat. Die Rüge einer Verletzung von Bundesrecht ist unbegründet. c) Daran vermögen auch Art. 725 Abs. 2-4 OR nichts zu ändern; die Berufung der Klägerin auf diese Vorschriften geht fehl. Die dort vorgesehene Pflicht des Verwaltungsrates, bei Überschuldung der Gesellschaft den Richter zu benachrichtigen, dient dem Schutz der Interessen der Gläubiger (BÜRGI, a.a.O., N. 2 zu Art. 725 OR ); kommt der Verwaltungsrat seiner Anzeigepflicht nicht oder nur verspätet nach, haftet er deshalb den Gläubigern für allfälligen dadurch verursachten Schaden ( Art. 754 Abs. 1 OR ; BGE 116 II 320 S. 325 BÜRGI, a.a.O., N. 11 zu Art. 725 OR ). Eine Grundlage für Ansprüche eines Aktionärs gegen die Gesellschaft oder gegen Dritte vermögen Art. 725 Abs. 2-4 OR hingegen nicht abzugeben.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