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189</w:t>
      </w:r>
    </w:p>
    <w:p>
      <w:r>
        <w:t>Bundesgericht (BGE), 1990-01-01, DE</w:t>
      </w:r>
    </w:p>
    <w:p>
      <w:r>
        <w:rPr>
          <w:b/>
        </w:rPr>
        <w:t xml:space="preserve">Quelle: </w:t>
      </w:r>
      <w:r>
        <w:t>https://mcp.opencaselaw.ch/entscheid/bge_BGE_116_II_189</w:t>
      </w:r>
    </w:p>
    <w:p>
      <w:r>
        <w:t>FR: ATF 116 II 189</w:t>
      </w:r>
    </w:p>
    <w:p>
      <w:r>
        <w:t>IT: DTF 116 II 189</w:t>
      </w:r>
    </w:p>
    <w:p>
      <w:pPr>
        <w:pStyle w:val="Heading2"/>
      </w:pPr>
      <w:r>
        <w:t>Regeste</w:t>
      </w:r>
    </w:p>
    <w:p>
      <w:r>
        <w:t>Regeste Versicherungsvertrag; Auslegung einer Ausschlussklausel bei einer kollektiven Taggeldversicherung (Art. 33 VVG). Zigaretten gelten im täglichen Sprachgebrauch nicht als Droge. Krankheiten, welche auf übermässigen Zigarettenkonsum zurückzuführen sind, rechtfertigen keinen Versicherungsausschluss.</w:t>
      </w:r>
    </w:p>
    <w:p>
      <w:r>
        <w:t>Regeste Contrat d'assurance; interprétation d'une clause d'exclusion insérée dans une assurance collective d'indemnité journalière. Dans le langage courant, la cigarette n'est pas assimilée à une drogue. Les maladies dues à la consommation excessive de cigarettes ne justifient aucune exclusion d'assurance.</w:t>
      </w:r>
    </w:p>
    <w:p>
      <w:r>
        <w:t>Regesto Contratto d'assicurazione; interpretazione di una clausola d'esclusione inserita in un'assicurazione collettiva d'indennità giornaliera. Nel linguaggio corrente, la sigaretta non è assimilata a una droga. Le malattie dovute al consumo eccessivo di sigarette non giustificano alcuna esclusione dall'assicurazione.</w:t>
      </w:r>
    </w:p>
    <w:p>
      <w:pPr>
        <w:pStyle w:val="Heading2"/>
      </w:pPr>
      <w:r>
        <w:t>Erwägungen</w:t>
      </w:r>
    </w:p>
    <w:p>
      <w:r>
        <w:rPr>
          <w:b/>
        </w:rPr>
        <w:t>E. 2</w:t>
      </w:r>
    </w:p>
    <w:p>
      <w:r>
        <w:t>Das Obergericht führt aus, der Versicherer der Beklagten hätte sich nicht auf Art. 5 Ziff. 3 der Allgemeinen Versicherungsbedingungen für die kollektive Taggeldversicherung, Ausgabe 1981, berufen können, wonach Krankheiten, welche auf offensichtlich missbräuchliche Verwendung von Medikamenten und Drogen zurückzuführen sind, von der Versicherung ausgeschlossen sind, da Zigaretten nicht zu den Drogen zählten. Dagegen wendet die Beklagte ein, der Kläger sei als übermässiger Raucher nicht als krank, sondern als süchtig einzustufen. a) Gemäss Art. 33 VVG ist eine gefahrenbeschränkende Abrede nur insofern wirksam, als sie einzelne Ereignisse in bestimmter, unzweideutiger Fassung von der Versicherung ausschliesst. Ob diese Voraussetzung im konkreten Falle erfüllt ist, beurteilt sich nach der Bedeutung, die den verwendeten Wörtern im täglichen Sprachgebrauch üblicherweise zukommt ( BGE 104 II 283 E. 2 mit Hinweisen). b) Unter Drogen versteht man pflanzliche, tierische oder mineralische Rohstoffe für Heilmittel, Stimulanzien oder Gewürze sowie Rauschgifte (DUDEN, Das grosse Wörterbuch der deutschen Sprache, Marbach 1976, S. 572; Der grosse Brockhaus, Wiesbaden 1978, S. 268). Als Drogen im engeren Sinn werden jene Stoffe bezeichnet, die eine Abhängigkeit (Sucht) erzeugen können BGE 116 II 189 S. 191 (Rauschdrogen). Der Volksmund versteht unter Drogen die Betäubungsmittel. Die Legaldefinition des Betäubungsmittelgesetzes (SR 812.121) umschreibt die Betäubungsmittel als abhängigkeitserzeugende Stoffe und Präparate. Weder das Betäubungsmittelgesetz noch die Verordnung des Bundesamtes für Gesundheitswesen über die Betäubungsmittel und andere Stoffe und Präparate (SR 812.121.2) zählen Zigaretten bzw. Nikotin zu den Betäubungsmitteln oder den betäubungsmittelähnlichen Stoffen. Auch wenn unbestritten ist, dass Zigaretten süchtig machen können, gelten sie im täglichen Sprachgebrauch nicht als Droge und können deshalb auch nicht unter Art. 5 Ziff. 3 der in Frage stehenden AVB subsumiert werden. Die Rüge der Beklagten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