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116 II 15</w:t>
      </w:r>
    </w:p>
    <w:p>
      <w:r>
        <w:t>Bundesgericht (BGE), 1990-01-01, DE</w:t>
      </w:r>
    </w:p>
    <w:p>
      <w:r>
        <w:rPr>
          <w:b/>
        </w:rPr>
        <w:t xml:space="preserve">Quelle: </w:t>
      </w:r>
      <w:r>
        <w:t>https://mcp.opencaselaw.ch/entscheid/bge_BGE_116_II_15</w:t>
      </w:r>
    </w:p>
    <w:p>
      <w:r>
        <w:t>FR: ATF 116 II 15</w:t>
      </w:r>
    </w:p>
    <w:p>
      <w:r>
        <w:t>IT: DTF 116 II 15</w:t>
      </w:r>
    </w:p>
    <w:p>
      <w:pPr>
        <w:pStyle w:val="Heading2"/>
      </w:pPr>
      <w:r>
        <w:t>Regeste</w:t>
      </w:r>
    </w:p>
    <w:p>
      <w:r>
        <w:t>Regeste Ehescheidung (Art. 142 Abs. 1 ZGB): Zerrüttung des ehelichen Verhältnisses, Zumutbarkeit der Fortsetzung der ehelichen Gemeinschaft. 1. Ob eine Fortsetzung der ehelichen Gemeinschaft zumutbar ist, hängt einerseits vom Grad wie auch von der Erscheinungsform der Zerrüttung und andererseits von der Persönlichkeit der Ehegatten ab (Erw. 2). 2. In einer Ehe, in der die Ehefrau sich vorab der Haushaltführung widmet und der Ehemann für die Beschaffung der erforderlichen Geldmittel besorgt ist, hat die Ehefrau hinzunehmen, dass der Ehemann den zur gehörigen Erfüllung seiner Pflicht nötigen Einsatz leistet und dass seine Verfügbarkeit für dieFamilie entsprechend eingeschränkt ist; möchte der Ehemann jedoch für seine Berufstätigkeit an Zeit und Energie mehr aufwenden, als erforderlich ist, um der Familie einen ihren Bedürfnissen angemessenen Lebensstandard zu sichern, darf dadurch die Ehe als geistig-seelische Gemeinschaft nicht gefährdet werden; der Ehemann hat auch in dieser Hinsicht auf die persönlichen Bedürfnisse der Ehefrau Rücksicht zu nehmen (Erw. 5).</w:t>
      </w:r>
    </w:p>
    <w:p>
      <w:r>
        <w:t>Regeste Divorce (art. 142 al. 1 CC): Rupture du lien conjugal, circonstances dans lesquelles la continuation de la vie commune peut être raisonnablement exigée. 1. Le point de savoir si la continuation de la vie commune peut être raisonnablement exigée dépend du degré comme de la forme sous laquelle se manifeste la désunion d'une part, de la personnalité des époux d'autre part (consid. 2). 2. Une union conjugale, dans laquelle l'épouse se consacre avant tout à la tenue du ménage alors que l'époux se charge de procurer les moyens financiers nécessaires, suppose que la femme accepte que le mari apporte l'engagement requis à l'accomplissement convenable de son devoir et que sa disponibilité pour la famille s'en trouve réduite d'autant; si toutefois l'époux souhaite investir dans son activité professionnelle davantage de temps et d'énergie qu'il n'est nécessaire pour assurer à la famille un train de vie adapté à ses besoins, la communauté spirituelle et affective qu'implique le mariage ne doit pas en être compromise; à cet égard aussi, l'époux doit prendre en compte les besoins personnels de l'épouse (consid. 5).</w:t>
      </w:r>
    </w:p>
    <w:p>
      <w:r>
        <w:t>Regesto Divorzio (art. 142 cpv. 1 CC): Turbazione delle relazioni coniugali, circostanze in cui non può ragionevolmente esigersi la continuazione dell'unione coniugale. 1. La questione se possa ragionevolmente esigersi la continuazione dell'unione coniugale dipende, da un lato, dal grado e dalla forma in cui si manifesta la turbazione delle relazioni coniugali e, dall'altro, dalla personalità dei coniugi (consid. 2). 2. In un'unione coniugale in cui la moglie si consacra soprattutto al governo della casa, mentre il marito provvede a procurare i mezzi finanziari necessari, la moglie deve accettare che il marito s'impegni adeguatamente all'adempimento di tale suo dovere e che la sua disponibilità per la famiglia venga a trovarsi ridotta in misura corrispondente; ove il marito desideri nondimeno investire nella propria attività professionale un tempo e un'energia eccedenti quanto è necessario per assicurare alla famiglia un tenore di vita conforme ai suoi bisogni, ciò non deve compromettere il matrimonio, inteso quale comunione spirituale e affettiva; anche al riguardo il marito ha l'obbligo di tener conto dei bisogni personali della moglie (consid. 5).</w:t>
      </w:r>
    </w:p>
    <w:p>
      <w:pPr>
        <w:pStyle w:val="Heading2"/>
      </w:pPr>
      <w:r>
        <w:t>Erwägungen</w:t>
      </w:r>
    </w:p>
    <w:p>
      <w:r>
        <w:rPr>
          <w:b/>
        </w:rPr>
        <w:t>E. 2</w:t>
      </w:r>
    </w:p>
    <w:p>
      <w:r>
        <w:t>Gemäss Art. 142 Abs. 1 ZGB kann jeder Ehegatte auf Scheidung klagen, wenn eine so tiefe Zerrüttung des ehelichen Verhältnisses eingetreten ist, dass den Ehegatten die Fortsetzung der ehelichen Gemeinschaft nicht zugemutet werden darf; ist BGE 116 II 15 S. 17 die tiefe Zerrüttung vorwiegend der Schuld des einen zuzuschreiben, kann indessen nur der andere Ehegatte klagen ( Art. 142 Abs. 2 ZGB ). Wie die erkennende Abteilung bereits im Urteil vom 9. März 1989 ausgeführt und auch das Kantonsgericht festgehalten hat, genügt es für die Aussprechung der Scheidung, dass die Unzumutbarkeit einer Fortsetzung der ehelichen Gemeinschaft auf seiten des klagenden Ehegatten dargetan ist (dazu BGE 108 II 26 f. E. 3a mit Hinweisen). Ob eine Fortsetzung der ehelichen Gemeinschaft zumutbar ist, hängt einerseits vom Grad wie auch von der Erscheinungsform der Zerrüttung und andererseits von der Persönlichkeit der Ehegatten ab. Je nach geistig-seelischer Veranlagung und Verfassung eines Ehegatten wirkt eine Tatsache, die im allgemeinen als ehezerrüttend anzuerkennen ist, auf dessen eheliche Gesinnung nicht so, dass die Fortsetzung der Ehe als unzumutbar erschiene. Umgekehrt kann eine gemeinhin nicht als ehezerrüttend empfundene Tatsache unter gewissen individuellen Voraussetzungen zu einer derart tiefen Zerrüttung der Ehe geführt haben, dass dem klagenden Ehegatten deren Fortsetzung nicht zugemutet werden darf (vgl. BÜHLER/SPÜHLER, N. 14 zu Art. 142 ZGB ; HINDERLING, Das schweizerische Ehescheidungsrecht, 3. Auflage, S. 12).</w:t>
      </w:r>
    </w:p>
    <w:p>
      <w:r>
        <w:rPr>
          <w:b/>
        </w:rPr>
        <w:t>E. 3</w:t>
      </w:r>
    </w:p>
    <w:p>
      <w:r>
        <w:t>a) Das Kantonsgericht hält fest, dass aus der Sicht der Klägerin das eheliche Verhältnis der Parteien erheblich gestört sei; indessen sei die Ehe nicht derart tief zerrüttet, dass ihr die Fortsetzung der ehelichen Gemeinschaft nicht zuzumuten wäre. Die Beeinträchtigung des ehelichen Einvernehmens führt die Vorinstanz in erster Linie auf die unterschiedlichen Meinungen der Parteien über die Frage zurück, wieweit ein Ehemann seine Aufmerksamkeit auf die Arbeit konzentrieren dürfe und die Ehefrau darob seine Zuwendung zu entbehren habe. Die Klägerin habe das Gefühl gehabt, für den Beklagten mehr Dekor des Hauses zu sein als eine ernstgenommene Frau mit Herz, Seele, Empfindsamkeit und dem Wunsch, den Kindern ein Umfeld von Liebe und Harmonie zu bieten; sie habe sich alleingelassen und nicht als vollwertige Partnerin akzeptiert gefühlt, und sie erachte es vom Beklagten als höchst egoistisch, von ihr zu verlangen, nur eine "Verzierung der Freude" zu sein, selbst aber für Frau und Kinder nicht verfügbar zu sein und nach einem Tag im Büro müde die Füsse unter den Tisch zu strecken. Andere Störfaktoren waren nach Ansicht des Kantonsgerichts lediglich die Folge der unterschiedlichen Vorstellungen der BGE 116 II 15 S. 18 Parteien vom Inhalt ihrer Ehe. Das gelte einmal für die im Zusammenhang mit der Krankheit des Sohnes ... aufgetretenen Schwierigkeiten. Dass sich die Klägerin in der Sorge um den Sohn, an dessen linkem Fuss zufolge einer medizinischen Fehlbehandlung eine Missbildung (teilweise Lähmung) eingetreten sei, allein gefühlt habe, hänge mit dem starken Engagement des Beklagten für Arbeit und Beruf zusammen. Auch die Konflikte wegen der Wohnorte der Parteien seien lediglich Ausfluss des ausgeprägten Bedürfnisses der Klägerin nach dauernder Aufmerksamkeit und Zuneigung gewesen. b) Den Vorbringen der Klägerin hat das Kantonsgericht entgegengehalten, dass die Ehe als umfassende Lebensgemeinschaft auch eine wirtschaftliche Gemeinschaft sei, für die nach altem Eherecht in erster Linie der Ehemann und nach neuem Recht die Ehegatten gleichermassen verantwortlich seien. Es entspreche auch heute noch durchaus gängiger Auffassung, dass ein Ehemann gehalten sei, für den Unterhalt und die Vorsorge der Familie den gehörigen Einsatz zur Erzielung von Einkommen und Bildung von Vermögen zu leisten. Wo die Ehefrau sich ganz der Familie und insbesondere der Erziehung der Kinder widmen könne, habe sie einen entsprechenden Einsatz des Ehemannes für sein berufliches Fortkommen zu dulden. Allerdings dürfe dies nicht soweit gehen, dass die Ehe als geistig-seelische Gemeinschaft gefährdet werde. Nach Ansicht der Vorinstanz traf dies hier nicht zu. Der Beklagte habe sich durchschnittlich von 07.30 bis 18.00 oder 19.00 Uhr im Büro aufgehalten und das Mittagessen jeweils auswärts eingenommen, was sich im Rahmen des nach allgemeiner Lebensauffassung als normal Empfundenen bewege. Auch das klägerische Vorbringen, der Beklagte sei als dominante Persönlichkeit im traditionellen Sinne zu einem partnerschaftlichen Verhalten nicht fähig, hält das Kantonsgericht für unzutreffend. So hätten die Parteien, als sie in die Schweiz gezogen seien, gemeinsam den Wohnsitz bestimmt und das Einfamilienhaus ausgesucht; ferner habe auch die Klägerin Zugang zum Lohnkonto des Beklagten gehabt. c) In Würdigung der von ihm festgehaltenen Umstände ist das Kantonsgericht zum Schluss gelangt, der Klägerin müsste es angesichts ihrer Intelligenz und ihrer Fähigkeiten bei gutem Willen möglich sein, die ehelichen Probleme nochmals anzupacken, zumal auch der Beklagte, der an der zweitinstanzlichen Gerichtsverhandlung glaubhaft die Bereitschaft bekundet habe, einen Ehetherapeuten BGE 116 II 15 S. 19 aufzusuchen, gewillt sei, einen erhöhten Einsatz zur Überwindung der Schwierigkeiten zu leisten. ...</w:t>
      </w:r>
    </w:p>
    <w:p>
      <w:r>
        <w:rPr>
          <w:b/>
        </w:rPr>
        <w:t>E. 5</w:t>
      </w:r>
    </w:p>
    <w:p>
      <w:r>
        <w:t>Welche Gesichtspunkte bei der Beurteilung der vorliegenden Scheidungsklage von Belang sind, hat das Kantonsgericht im wesentlichen zutreffend festgehalten. Richtig ist insbesondere, dass es nicht allein darauf ankommen kann, dass bei der Klägerin der Ehewille erloschen ist. Indessen kann der vorinstanzlichen Gewichtung und Abwägung der Faktoren, die für die Frage der Zumutbarkeit, die eheliche Gemeinschaft fortzuführen, massgebend sind, nicht in allen Teilen beigepflichtet werden. a) Die Parteien waren sich von Anfang der Ehe an einig darüber, dass die Klägerin sich vorab der Haushaltführung zuwenden und dass der Beklagte für die Beschaffung der erforderlichen Geldmittel besorgt sein werde. Bei einer solchen Aufgabenteilung hat die Ehefrau in der Tat hinzunehmen, dass der Ehemann den zur gehörigen Erfüllung seiner Pflicht nötigen Einsatz leistet und dass seine Verfügbarkeit für die Familie entsprechend eingeschränkt ist. Wendet jedoch der Ehemann für seine Berufstätigkeit an Zeit und Energie mehr auf, als erforderlich ist, um der Familie einen ihren Bedürfnissen angemessenen Lebensstandard zu sichern, darf - wie auch die Vorinstanz richtig erkannt hat - dadurch die Ehe als geistig-seelische Gemeinschaft nicht gefährdet werden. Aus der Sicht des Eherechts hat der Ehemann mit andern Worten nicht einen unbegrenzten Anspruch auf Verwirklichung seiner beruflichen Ziele. Er hat im Bestreben, seine persönlichen Bedürfnisse zu befriedigen, auch in diesem Bereich auf die Ehefrau Rücksicht zu nehmen. Den Vorstellungen der Ehefrau von der Ehe als geistig-seelischer Gemeinschaft hat der Ehemann im Rahmen des Zumutbaren auch dann Rechnung zu tragen, wenn ihre persönlichen Erwartungen an ihn erst im Laufe der Zeit grösser geworden sind. b) Der gemäss der übereinstimmenden Vorstellung beider Parteien ihm zugefallenen Pflicht, durch seine Berufstätigkeit die Mittel zur Deckung der materiellen Bedürfnisse der Familie zu beschaffen, ist der Beklagte stets mit grossem Einsatz nachgekommen. Hingegen hat er - ohne dass ihn dabei ein Verschulden zu treffen braucht - die von der Klägerin an ihn als geistig-seelischen Partner gerichteten Erwartungen zumindest von einem gewissen Zeitpunkt an nicht mehr ganz erfüllt. Woran dies gelegen hat, steht nicht fest. Möglicherweise vermochte die Klägerin - etwa aufgrund ihrer ausgeprägten Empfindsamkeit - ihre Vorstellungen BGE 116 II 15 S. 20 nicht in einer für den Beklagten wahrnehmbaren Form auszudrücken oder war der Beklagte - beispielsweise weil durch seine Verantwortungen im Beruf zu stark in Anspruch genommen - nicht in der Lage, sie wahrzunehmen und darauf einzugehen. Der Hinweis des Kantonsgerichts auf die Arbeitszeiten des Beklagten, die im Rahmen des Üblichen lägen, ist hier insofern nur zum Teil stichhaltig, als wegen der Belastung durch die beruflichen Verantwortungen auch bei physischer Anwesenheit die Verfügbarkeit eingeschränkt sein kann. Ausserdem waren hier die an den Ehemann zu stellenden Anforderungen auch insofern höher, als der Beklagte seine Ehefrau in ein ihm vertrautes, ihr aber sprachlich und kulturell fremdes Umfeld verpflanzte. Wenn die Vorinstanz weiter ausführt, dass auch der Beklagte ein durchaus partnerschaftliches Verständnis von der Ehe an den Tag gelegt habe, so ist festzuhalten, dass die von ihr erwähnten Tatsachen (Bestimmung des Wohnsitzes bei der Übersiedlung in die Schweiz; Wahl des Einfamilienhauses; Zugang der Klägerin zum Lohnkonto des Beklagten) den Vorwurf mangelnder Partnerschaftlichkeit nur sehr beschränkt zu entkräften vermögen. Aus den angeführten Beispielen ergibt sich vor allem eine Grosszügigkeit des Beklagten in materiellen Belangen, nicht aber eine Fähigkeit, der Klägerin auf der psychisch-emotionalen Ebene in der von ihr erwarteten Art zu begegnen. Fest steht aufgrund des angefochtenen Urteils auf jeden Fall, dass die angespannte eheliche Situation den gesundheitlichen Allgemeinzustand der Klägerin beeinträchtigt hat und diese insbesondere an Depressionen litt. c) Indem die Vorinstanz in Anbetracht der von ihr festgehaltenen Umstände von der Klägerin verlangt, "die ehelichen Probleme nochmals anzupacken" und die eheliche Gemeinschaft mit dem Beklagten fortzusetzen, mutet sie ihr zuviel zu. Durch den kantonsgerichtlichen Entscheid wird das Recht der Klägerin auf Achtung und Geltung als Persönlichkeit in unzulässigem Masse beeinträchtigt. Dass die Klägerin intelligent und tüchtig ist, vermag am Gesagten nichts zu ändern, zumal ihre Reaktionen auf die ehelichen Spannungen (allgemeine gesundheitliche Störungen, Depressionen) in der spezifischen Empfindsamkeit begründet sind und insofern nicht im Bereiche des Willens ausgelöst und gesteuert werden. Das Kantonsgericht hebt sodann hervor, dass der Beklagte an der zweitinstanzlichen Gerichtsverhandlung sich bereit erklärt habe, einen Ehetherapeuten aufzusuchen und soweit möglich seinen Arbeitsplatz ... (an den heutigen Wohnort der BGE 116 II 15 S. 21 Klägerin) zu verlegen. Das deutet indessen nicht ohne weiteres darauf hin, dass der Beklagte auch bereit wäre, seine Einstellung zu Arbeit und Beruf in Frage zu stellen und nötigenfalls sein berufliches Engagement zugunsten einer grösseren Verfügbarkeit für die persönlichen Bedürfnisse der Klägerin ihm gegenüber zu reduzieren. Wohl trifft schliesslich zu, dass dort, wo unmündige Kinder vorhanden sind, von den Ehegatten ein erhöhtes Mass an Opfern und Anstrengungen zur Fortsetzung der Ehe verlangt werden kann (vgl. BÜHLER/SPÜHLER, N. 33 zu Art. 142 ZGB ). Dieser Gesichtspunkt verliert hier indessen insofern an Bedeutung, als die sie über Gebühr belastende eheliche Situation bei der Klägerin zu Erkrankungen und vor allem zu Depressionen geführt hat, wodurch für sie die Erfüllung ihrer Aufgaben vor allem als Ehefrau schwer beeinträchtigt gewesen sein dürfte.</w:t>
      </w:r>
    </w:p>
    <w:p>
      <w:r>
        <w:rPr>
          <w:b/>
        </w:rPr>
        <w:t>E. 6</w:t>
      </w:r>
    </w:p>
    <w:p>
      <w:r>
        <w:t>Aus dem Gesagten erhellt, dass die Abweisung der Scheidungsklage gegen Art. 142 Abs. 1 ZGB verstösst. Soweit auf die Berufung einzutreten ist, ist sie daher gutzuheissen, und die Sache ist zur Aussprechung der Ehescheidung und zum Entscheid über deren Nebenfolgen an die Vorinstanz zurückzuweisen.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