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8</w:t>
      </w:r>
    </w:p>
    <w:p>
      <w:r>
        <w:t>Bundesgericht (BGE), 1990-01-01, FR</w:t>
      </w:r>
    </w:p>
    <w:p>
      <w:r>
        <w:rPr>
          <w:b/>
        </w:rPr>
        <w:t xml:space="preserve">Quelle: </w:t>
      </w:r>
      <w:r>
        <w:t>https://mcp.opencaselaw.ch/entscheid/bge_BGE_116_III_8</w:t>
      </w:r>
    </w:p>
    <w:p>
      <w:r>
        <w:t>FR: ATF 116 III 8</w:t>
      </w:r>
    </w:p>
    <w:p>
      <w:r>
        <w:t>IT: DTF 116 III 8</w:t>
      </w:r>
    </w:p>
    <w:p>
      <w:pPr>
        <w:pStyle w:val="Heading2"/>
      </w:pPr>
      <w:r>
        <w:t>Regeste</w:t>
      </w:r>
    </w:p>
    <w:p>
      <w:r>
        <w:t>Regeste Zustellung des Zahlungsbefehls (Art. 64 und 65 SchKG). Eine Abholungseinladung betreffend Zahlungsbefehl darf, im Gegensatz zu solchen betreffend Mitteilungen des Betreibungsamtes im Sinne von Art. 34 SchKG, nicht in das Postfach des Schuldners gelegt werden (E. 1a). Bei juristischen Personen muss der Zahlungsbefehl dem verantwortlichen Organ zugestellt werden, damit dieses darüber entscheiden kann, ob Rechtsvorschlag erhoben werden soll (E. 1b).</w:t>
      </w:r>
    </w:p>
    <w:p>
      <w:r>
        <w:t>Regeste Notification du commandement de payer (art. 64 et 65 LP). Un avis de retrait d'un commandement de payer ne doit pas être déposé dans la case postale du débiteur, contrairement aux avis de retraits de simples communications de l'office au sens de l'art. 34 LP (consid. 1a). S'agissant des personnes morales, le commandement de payer doit être notifié à l'organe responsable, habilité à décider de l'opportunité de faire opposition (consid. 1b).</w:t>
      </w:r>
    </w:p>
    <w:p>
      <w:r>
        <w:t>Regesto Notificazione del precetto esecutivo (art. 64 et 65 LEF). Un invito di ritiro concernente un precetto esecutivo non può essere depositato nella casella postale del debitore, contrariamente a ciò che vale per gli inviti di ritiro concernenti semplici comunicazioni dell'ufficio delle esecuzioni ai sensi dell'art. 34 LEF (consid. 1a). Trattandosi di persone giuridiche, il precetto esecutivo va notificato all'organo responsabile, competente a decidere se occorra fare opposizione (consid. 1b).</w:t>
      </w:r>
    </w:p>
    <w:p>
      <w:pPr>
        <w:pStyle w:val="Heading2"/>
      </w:pPr>
      <w:r>
        <w:t>Erwägungen</w:t>
      </w:r>
    </w:p>
    <w:p>
      <w:r>
        <w:rPr>
          <w:b/>
        </w:rPr>
        <w:t>E. 1</w:t>
      </w:r>
    </w:p>
    <w:p>
      <w:r>
        <w:t>L'autorité cantonale a admis, à juste titre, que le commandement de payer doit être notifié personnellement au débiteur dans sa demeure ou à l'endroit où il exerce habituellement sa profession ( art. 64 LP ). Il ne doit pas être déposé dans sa case postale. a) La notification des actes de poursuite, spécialement des commandements de payer, revêt une signification particulière, contrairement à de simples communications de l'Office au sens de l' art. 34 LP . Le commandement de payer est en effet établi sur la simple allégation d'une créance en faveur du poursuivant. La possibilité de former opposition, immédiatement et sans motivation, donne dès lors aux modalités de la notification une BGE 116 III 8 S. 10 importance toute particulière. La formule 3b (Commandement de payer) prévoit d'ailleurs expressément la notification personnelle, laquelle doit être attestée par le fonctionnaire ou le facteur. Il y est en outre rappelé que la notification ne peut être opérée ni par lettre ordinaire ni par lettre recommandée. A cet égard, RUEDIN (FJS 978a, p. 4, n. 24) s'appuie sur une fausse situation initiale (notification d'une décision de l'autorité de surveillance: ATF 110 III 3 ss). b) S'agissant des personnes morales, l' art. 65 LP prévoit, toujours dans la même optique, que le commandement de payer doit être notifié en premier lieu à l'organe responsable, habilité à décider de l'opportunité de faire opposition. La notification doit ainsi être faite à un membre de l'administration ou à un fondé de procuration. C'est pourquoi, comme l'autorité cantonale l'a justement relevé, lorsque la poursuite est dirigée contre une personne morale, il faut également indiquer dans le commandement de payer, respectivement dans la réquisition de poursuite, le nom d'un représentant autorisé ( art. 65 al. 1 ch. 2 et 67 LP ; ATF 109 III 4 ss). Si ces indications font défaut, l'Office des poursuites doit immédiatement en aviser le créancier et lui donner la possibilité de compléter la réquisition. Le commandement de payer ne sera annulé sur plainte du poursuivi que si le créancier ne renseigne pas l'Office dans le délai qui lui aura été imparti ( ATF 114 III 62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