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4</w:t>
      </w:r>
    </w:p>
    <w:p>
      <w:r>
        <w:t>Bundesgericht (BGE), 1990-01-01, FR</w:t>
      </w:r>
    </w:p>
    <w:p>
      <w:r>
        <w:rPr>
          <w:b/>
        </w:rPr>
        <w:t xml:space="preserve">Quelle: </w:t>
      </w:r>
      <w:r>
        <w:t>https://mcp.opencaselaw.ch/entscheid/bge_BGE_116_III_4</w:t>
      </w:r>
    </w:p>
    <w:p>
      <w:r>
        <w:t>FR: ATF 116 III 4</w:t>
      </w:r>
    </w:p>
    <w:p>
      <w:r>
        <w:t>IT: DTF 116 III 4</w:t>
      </w:r>
    </w:p>
    <w:p>
      <w:pPr>
        <w:pStyle w:val="Heading2"/>
      </w:pPr>
      <w:r>
        <w:t>Regeste</w:t>
      </w:r>
    </w:p>
    <w:p>
      <w:r>
        <w:t>Regeste Art. 49 SchKG; Betreibung einer Erbschaft. Eine Erbschaft kann auf Grund der Spezialvorschrift von Art. 49 SchKG als solche für die Vermögenswerte der Erbschaft betrieben werden, aber unter Ausschluss der persönlichen Haftung der Erben für deren Schulden (E. 2a). Art. 17 ff. SchKG im Verhältnis zu Art. 580 ff. ZGB; Zuständigkeit der Aufsichtsbehörden. Es obliegt dem Zivilrichter, nicht den Aufsichtsbehörden im Rahmen eines Beschwerdeverfahrens, über die Frage der Anwendung von Art. 583 ZGB auf laufende Betreibungsverfahren zu befinden und zu entscheiden, ob die Einrede der Annahme der Erbschaft unter öffentlichem Inventar der Untätigkeit eines Gläubigers während des öffentlichen Rechnungsrufes entgegengehalten werden kann (E. 2b).</w:t>
      </w:r>
    </w:p>
    <w:p>
      <w:r>
        <w:t>Regeste Art. 49 LP; poursuite contre une succession. La succession peut être poursuivie en tant que telle sur la base de la règle spéciale de l'art. 49 LP, et ce sur les biens de la succession, à l'exclusion de la responsabilité personnelle des héritiers pour les dettes de celle-ci (consid. 2a). Art. 17 ss LP en rapport avec les art. 580 ss CC; compétence de l'autorité de surveillance. C'est au juge civil, et non pas à l'autorité de surveillance dans le cadre de la procédure de plainte, de trancher la question de l'application de l'art. 583 CC aux poursuites en cours et de décider si l'exception tirée de l'acceptation de la succession sous bénéfice d'inventaire peut être opposée à l'inaction d'un créancier lors de la sommation publique (consid. 2b).</w:t>
      </w:r>
    </w:p>
    <w:p>
      <w:r>
        <w:t>Regesto Art. 49 LEF; esecuzione nei confronti di un'eredità. Un'eredità può essere escussa, in quanto tale, in base alla norma speciale dell'art. 49 LEF per quanto concerne i beni dell'eredità, ma con l'esclusione della responsabilità personale degli eredi per i debiti dell'eredità (consid. 2a). Art. 17 segg. LEF in relazione con gli art. 580 segg. CC; competenza dell'autorità di vigilanza. Incombe al giudice civile, e non all'autorità di vigilanza nel quadro della procedura di reclamo, di statuire sull'applicazione dell'art. 583 CC alle esecuzioni in corso e di decidere se l'eccezione con cui è fatta valere l'accettazione della successione con il beneficio d'inventario sia opponibile a un creditore che non ha dato seguito alla grida (consid. 2b).</w:t>
      </w:r>
    </w:p>
    <w:p>
      <w:pPr>
        <w:pStyle w:val="Heading2"/>
      </w:pPr>
      <w:r>
        <w:t>Erwägungen</w:t>
      </w:r>
    </w:p>
    <w:p>
      <w:r>
        <w:rPr>
          <w:b/>
        </w:rPr>
        <w:t>E. 1</w:t>
      </w:r>
    </w:p>
    <w:p>
      <w:r>
        <w:t>L'autorité cantonale a considéré que la continuation de la poursuite après la mort du débiteur a été entreprise contre sa succession et non pas contre les héritiers. Elle est intervenue après la péremption de la procédure en libération de dette - ce que les recourants admettent - partant après la mainlevée définitive de l'opposition. L'autorité de surveillance n'a pas admis l'exception selon laquelle les héritiers n'avaient accepté la succession que sous bénéfice d'inventaire et la banque n'avait pas produit sa créance à l'occasion de la sommation publique. Elle a estimé qu'elle n'avait pas à examiner cette question dans la procédure de plainte.</w:t>
      </w:r>
    </w:p>
    <w:p>
      <w:r>
        <w:rPr>
          <w:b/>
        </w:rPr>
        <w:t>E. 2</w:t>
      </w:r>
    </w:p>
    <w:p>
      <w:r>
        <w:t>Les moyens invoqués par les recourants ne sont pas pertinents. a) La succession peut être poursuivie en tant que telle sur la base de la règle spéciale de l' art. 49 LP , explicable historiquement (voir notamment SPINNER, Die Rechtsstellung des Nachlasses in den Fällen seiner gesetzlichen Vertretung (ZGB 517, 554, 595, 602 III), thèse Zurich 1966, p. 70 ss), et ce sur les biens de la succession, à l'exclusion de la responsabilité personnelle des héritiers pour les dettes de celle-ci ( ATF 113 III 81 consid. 3; ATF 51 III 98 ; JAEGER, Commentaire de la loi fédérale sur la poursuite pour dettes et BGE 116 III 4 S. 7 faillite, Lausanne 1920, rem. 6 ad art. 49 et rem. 6 ss ad art. 59; GILLIÉRON, Poursuite pour dettes, Faillite et Concordat, Lausanne 1988, p. 74, 85 et 93; FRITZSCHE/WALDER, Schuldbetreibung und Konkurs nach Schweizerischem Recht, Band I, p. 73 et 109 ss). Lors même qu'elle n'a pas la personnalité juridique et qu'elle repose sur la communauté des héritiers en main commune, une telle poursuite est néanmoins possible. Par l' art. 49 LP , le législateur a en effet conféré à la succession la capacité d'être poursuivie (SPINNER, op.cit., p. 71). Ce patrimoine séparé dispose ainsi de la légitimation passive dans la procédure de poursuite ( ATF 102 II 388 ). Une poursuite déjà introduite avant le décès du de cujus peut être continuée contre la succession et ne s'éteint pas ( art. 59 al. 2 LP ; ATF 102 II 387 /388). Les héritiers peuvent être eux-mêmes poursuivis parallèlement à la succession (JAEGER, op.cit., rem. 1 ad art. 49), sous réserve certes de la condition prévue à l' art. 59 al. 3 LP . Aussi longtemps que le partage n'a pas eu lieu ou qu'une indivision contractuelle n'a pas été constituée ( art. 49 LP ), il faut seulement que le délai de la répudiation soit échu ou que la succession ait été acceptée sous bénéfice d'inventaire pour intenter ou continuer une poursuite contre la succession en tant que telle (GILLIÉRON, op.cit., p. 93). Le préposé doit s'assurer d'office que la liquidation officielle n'a pas été ordonnée ( ATF 99 III 51 s.). Mais cette poursuite - en l'espèce incontestablement continuée contre la seule succession - se limite aux biens de la succession, excluant ainsi les héritiers. Ne pourront être saisis que les actifs de celle-ci, à l'exclusion donc des autres biens appartenant à chacun des héritiers ( ATF 113 III 82 consid. 4 et la référence citée). Aussi bien, les règles relatives à la responsabilité de ceux-ci, instituées par les art. 580 ss CC , n'entrent pas en ligne de compte. b) Au demeurant, c'est au juge civil, et non pas à l'autorité de surveillance dans le cadre de la procédure de plainte, de décider si l'exception tirée de l'acceptation sous bénéfice d'inventaire a été effectivement soulevée à bon droit. Il s'agit d'un problème de droit matériel au sens de la jurisprudence ( ATF 110 III 116 ss). Seule une action portée devant les tribunaux civils est à même de le résoudre ( ATF 66 II 96 ). Il faut en effet trancher la question de l'application de l' art. 583 CC aux poursuites en cours et savoir si l'inaction d'un créancier lors de la sommation publique ne pourrait d'emblée lui être opposée. Certes, le Tribunal fédéral avait considéré, dans un arrêt déjà ancien ( ATF 38 I 303 ), que, étant constatée par les procès-verbaux de l'Office, la créance fondant une poursuite BGE 116 III 4 S. 8 devait être assimilée aux créances constatées par des registres publics et devait dès lors être inventoriée d'office. Mais la doctrine n'est pas unanime à ce propos (PIOTET, Droit successoral, Traité de droit privé suisse, Fribourg 1988, Tome IV, p. 720 et les références citées; voir aussi ESCHER, Kommentar zum schweizerischen Zivilgesetzbuch, Zurich 1960, n. 8 ad art. 589/590, TUOR/PICENONI, Berner Kommentar, n. 12 ad art. 589/590). De toute manière, les art. 583, 589 et 590 CC concernent la transmission successorale des obligations et règlent ainsi des rapports de droit civil ( ATF 102 Ia 489 consid. 6b). Ceci ne saurait être examiné dans la procédure des art. 17 ss LP . Il n'est de toute façon question que de la protection de l'héritier, lequel n'entre pas en considération dans une poursuite dirigée contre la succession en tant que 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