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1</w:t>
      </w:r>
    </w:p>
    <w:p>
      <w:r>
        <w:t>Bundesgericht (BGE), 1990-01-01, DE</w:t>
      </w:r>
    </w:p>
    <w:p>
      <w:r>
        <w:rPr>
          <w:b/>
        </w:rPr>
        <w:t xml:space="preserve">Quelle: </w:t>
      </w:r>
      <w:r>
        <w:t>https://mcp.opencaselaw.ch/entscheid/bge_BGE_116_III_1</w:t>
      </w:r>
    </w:p>
    <w:p>
      <w:r>
        <w:t>FR: ATF 116 III 1</w:t>
      </w:r>
    </w:p>
    <w:p>
      <w:r>
        <w:t>IT: DTF 116 III 1</w:t>
      </w:r>
    </w:p>
    <w:p>
      <w:pPr>
        <w:pStyle w:val="Heading2"/>
      </w:pPr>
      <w:r>
        <w:t>Regeste</w:t>
      </w:r>
    </w:p>
    <w:p>
      <w:r>
        <w:t>Regeste Art. 46 Abs. 2 SchKG; Betreibungsort bei Verlegung des Sitzes einer Aktiengesellschaft. Bei einer Aktiengesellschaft wird die Sitzverlegung im Hinblick auf Art. 647 Abs. 3 OR unmittelbar mit der Eintragung in das Handelsregister wirksam. Die Gesellschaft ist daher von diesem Tag an am Ort des neuen Sitzes zu betreiben. Auf die Publikation der Sitzverlegung im Schweizerischen Handelsamtsblatt kommt es dabei - entgegen der sonst geltenden Regel - nicht an.</w:t>
      </w:r>
    </w:p>
    <w:p>
      <w:r>
        <w:t>Regeste Art. 46 al. 2 LP; for de la poursuite en cas de transfert du siège d'une société anonyme. Eu égard à l'art. 647 al. 3 CO, le transfert du siège d'une société anonyme est immédiatement suivi d'effet avec l'inscription au registre du commerce. C'est pourquoi, à dater de ce jour, la société doit être poursuivie au lieu de son nouveau siège. La publication du transfert du siège dans la Feuille officielle suisse du commerce ne joue donc aucun rôle, contrairement à la norme générale applicable en l'absence de dispositions spéciales.</w:t>
      </w:r>
    </w:p>
    <w:p>
      <w:r>
        <w:t>Regesto Art. 46 cpv. 2 LEF; luogo dell'esecuzione in caso di trasferimento della sede di una società anonima. Tenuto conto dell'art. 647 cpv. 3 CO, il trasferimento della sede di una società anonima ha effetto immediatamente con la sua iscrizione nel registro di commercio. Per tale üüragione, a partire da questa data, la società va escussa nel luogo della sua nuova sede. La pubblicazione del trasferimento della sede nel Foglio ufficiale svizzero di commercio è pertanto priva di rilevanza al proposito, in deroga alla norma generale applicabile in assenza di una disposizione speciale.</w:t>
      </w:r>
    </w:p>
    <w:p>
      <w:pPr>
        <w:pStyle w:val="Heading2"/>
      </w:pPr>
      <w:r>
        <w:t>Erwägungen</w:t>
      </w:r>
    </w:p>
    <w:p>
      <w:r>
        <w:rPr>
          <w:b/>
        </w:rPr>
        <w:t>E. 2</w:t>
      </w:r>
    </w:p>
    <w:p>
      <w:r>
        <w:t>Nach Art. 46 Abs. 2 SchKG sind die im Handelsregister eingetragenen juristischen Personen an ihrem Sitz zu betreiben. Verändert der Schuldner seinen Wohnsitz bzw. seinen Sitz, nachdem ihm die Pfändung angekündigt oder nachdem ihm die Konkursandrohung oder der Zahlungsbefehl zur Wechselbetreibung zugestellt worden ist, so wird die Betreibung am bisherigen Ort BGE 116 III 1 S. 3 fortgesetzt ( Art. 53 SchKG ). Bei der Betreibung auf Pfandverwertung wird die Pfändungsankündigung durch den Zahlungsbefehl ersetzt, weshalb schon durch diesen der Betreibungsort definitiv bestimmt wird ( Art. 152 SchKG ; JAEGER, N. 3 zu Art. 53 SchKG ). Im vorliegenden Fall hat die Rekursgegnerin ihren Sitz verlegt, bevor der Rekurrent das Betreibungsbegehren am 14. bzw. 17. Juli 1989 eingereicht hat. Auch ist die Firma bereits vorher im Handelsregister Basel-Stadt gelöscht worden. Indessen stellt sich die Frage, ob dieser Sitzverlegung erst mit der Publikation der Löschung im Schweizerischen Handelsamtsblatt, welche am 26. Juli 1989 erfolgte, rechtliche Wirkung zukommt, m.a.W., ob der bisherige Sitz bis zur Publikation der Löschung für den Betreibungsort ausschlaggebend ist. Dabei ist auch zu beachten, dass es sich im vorliegenden Fall um Betreibungen auf Pfandverwertung handelt und der Zahlungsbefehl ebenfalls vom 26. Juli 1989 datiert ist. Das Bundesgericht hat in BGE 44 III 16 und BGE 45 I 52 /53 festgehalten, dass eine Eintragung im Handelsregister für das Betreibungsforum von juristischen Personen und Gesellschaften nicht vor der Bekanntmachung im Schweizerischen Handelsamtsblatt, sondern erst am Tage danach Wirkung entfalte. Dies gelte insbesondere auch bei einer Verlegung des Sitzes (vgl. auch BGE 68 III 150 E. 2). Dieselbe Ansicht wird auch von JAEGER, N. 9 zu Art. 46 SchKG , vertreten. Diese Auffassung entspricht der Regel. Nach Art. 931 Abs. 1 OR sind die Eintragungen im Handelsregister ohne Verzug im Schweizerischen Handelsamtsblatt bekanntzumachen. Ist eine Tatsache im Handelsregister einzutragen, so muss auch jede Änderung dieser Tatsache eingetragen werden ( Art. 937 OR ). Zu den in das Handelsregister aufzunehmenden Tatsachen gehört nach Art. 641 Ziff. 2 OR auch der Sitz einer Aktiengesellschaft. In Art. 932 Abs. 2 OR wird sodann ausdrücklich festgehalten, Dritten gegenüber werde eine Eintragung im Handelsregister erst am nächsten Werktag wirksam, der auf den aufgedruckten Ausgabetag derjenigen Nummer des Schweizerischen Handelsamtsblatts folgt, in der die Eintragung veröffentlicht ist. Dieser Werktag ist auch der massgebende Tag für den Lauf einer Frist, die mit der Veröffentlichung der Eintragung beginnt. In Art. 932 Abs. 3 OR werden dann allerdings die besonderen gesetzlichen Vorschriften vorbehalten, nach denen unmittelbar mit der Eintragung auch Dritten gegenüber Rechtswirkungen verbunden sind oder Fristen zu laufen beginnen. Dazu gehört für die BGE 116 III 1 S. 4 Aktiengesellschaft Art. 647 Abs. 3 OR , welcher - indessen ohne leichthin einleuchtende Begründung für die Ausnahme von der Regel - vorsieht, dass eine Statutenänderung Dritten gegenüber unmittelbar mit der Eintragung in das Handelsregister wirksam wird. Da die Verlegung des Sitzes einer Aktiengesellschaft eine Statutenänderung voraussetzt, kommt Art. 647 Abs. 3 OR auch hiefür Geltung zu (Siegwart, N. 13 und 19 zu Art. 647 OR , N. 30 zu Art. 626 OR ). Auf die Publikation der Sitzverlegung im Schweizerischen Handelsamtsblatt kann es daher nicht ankommen (SJZ 79/1983 Nr. 29; gegenteiliger Meinung ZR 57/1958 Nr. 22). Demgegenüber betrafen die beiden zitierten Bundesgerichtsurteile BGE 44 III 14 und BGE 45 I 51 eine Kommanditgesellschaft und eine Genossenschaft, auf welche die aktienrechtliche Spezialnorm von Art. 647 Abs. 3 OR keine Anwendung findet. Im vorliegenden Fall wurde der Sitz der in Betreibung gesetzten Aktiengesellschaft in Basel am 11. Juli 1989 im Handelsregister von Basel-Stadt gelöscht, weil die Schuldnerin ihren Sitz am 23. Juni 1989 nach Gelterkinden verlegt hatte, während die Publikation im Schweizerischen Handelsamtsblatt erst am 26. Juli 1989 erfolgte. Das vom 14. Juli 1989 datierte und am 17. Juli 1989 beim Betreibungsamt Basel-Stadt eingetroffene Betreibungsbegehren des Rekurrenten wurde somit erst nach Löschung der Rekursgegnerin im Handelsregister gestellt, weshalb das Betreibungsamt Basel-Stadt für die Durchführung der Betreibung nicht mehr zuständig war. Dass es sich dabei um Betreibungen auf Pfandverwertung handelte, vermochte daran nichts zu ändern. Die kantonale Aufsichtsbehörde hat vielmehr mit Recht die Betreibungen Nrn. 89/29346 und 89/90004 des Betreibungsamtes Basel-Stadt aufgehoben. Eine Bundesrechtsverletzung kann ihr diesbezüglich nicht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