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8 vom 1. Januar 1990</w:t>
      </w:r>
    </w:p>
    <w:p>
      <w:r>
        <w:t>Bundesgericht (BGE), 1990-01-01, DE</w:t>
      </w:r>
    </w:p>
    <w:p>
      <w:r>
        <w:rPr>
          <w:b/>
        </w:rPr>
        <w:t xml:space="preserve">Quelle: </w:t>
      </w:r>
      <w:r>
        <w:t>https://mcp.opencaselaw.ch/entscheid/bge_BGE_116_IB_8</w:t>
      </w:r>
    </w:p>
    <w:p>
      <w:r>
        <w:t>FR: BGE BGE 116 IB 8 du 1 janvier 1990</w:t>
      </w:r>
    </w:p>
    <w:p>
      <w:r>
        <w:t>IT: BGE BGE 116 IB 8 del 1 gennaio 1990</w:t>
      </w:r>
    </w:p>
    <w:p>
      <w:pPr>
        <w:pStyle w:val="Heading2"/>
      </w:pPr>
      <w:r>
        <w:t>Regeste</w:t>
      </w:r>
    </w:p>
    <w:p>
      <w:r>
        <w:t>Regeste Art. 97 ff. OG, 24 und 34 RPG; Zulässigkeit der Verwaltungsgerichtsbeschwerde; Kognition des Bundesgerichts. Mit der Verwaltungsgerichtsbeschwerde kann auch die Verletzung des selbständigen kantonalen Verfahrensrechts gerügt werden, welches bei Ausnahmebewilligungen nach Art. 24 RPG angewendet wird; die Überprüfungsbefugnis richtet sich allerdings nach den für die staatsrechtliche Beschwerde geltenden Grundsätzen.</w:t>
      </w:r>
    </w:p>
    <w:p>
      <w:r>
        <w:t>Regeste Art. 97 ss OJ, 24 et 34 LAT; recevabilité du recours de droit administratif; pouvoir d'examen du Tribunal fédéral. Le recours de droit administratif permet de dénoncer la violation du droit cantonal de procédure qui a une portée propre par rapport au droit fédéral, appliqué aux autorisations exceptionnelles prévues par l'art. 24 LAT. Cependant, le pouvoir d'examen du Tribunal fédéral est limité conformément aux principes applicables au recours de droit public.</w:t>
      </w:r>
    </w:p>
    <w:p>
      <w:r>
        <w:t>Regesto Art. 97 segg. OG, 24 e 34 LPT; ammissibilità del ricorso di diritto amministrativo; potere d'esame del Tribunale federale. La violazione del diritto cantonale autonomo di procedura applicabile alle autorizzazioni eccezionali previste dall'art. 24 LPT può essere censurata con ricorso di diritto amministrativo. Tuttavia, il potere d'esame del Tribunale federale è limitato conformemente ai principi che valgono per il ricorso di diritto pubblico.</w:t>
      </w:r>
    </w:p>
    <w:p>
      <w:pPr>
        <w:pStyle w:val="Heading2"/>
      </w:pPr>
      <w:r>
        <w:t>Erwägungen</w:t>
      </w:r>
    </w:p>
    <w:p>
      <w:r>
        <w:rPr>
          <w:b/>
        </w:rPr>
        <w:t>E. 1</w:t>
      </w:r>
    </w:p>
    <w:p>
      <w:r>
        <w:t>Der angefochtene Nichteintretensentscheid des Staatsrats ist in Anwendung von Art. 24 RPG und gestützt auf diese Bestimmung ausführendes kantonales Recht ergangen. Beim erwähnten kantonalen Ausführungsrecht handelt es sich um Art. 59 Abs. 2 RPBG in Verbindung mit Art. 7 Abs. 1 des Gesetzes über das Verfahren bei Verwaltungsbeschwerden vom 24. Mai 1961 (VVG). BGE 116 Ib 8 S. 10 Gemäss Art. 59 Abs. 2 RPBG kann der Entscheid der Baudirektion über Sonderbewilligungen im Sinne von Art. 24 RPG durch den Gesuchsteller, die Gemeinde oder den Einsprecher mit Verwaltungsbeschwerde angefochten werden. Die Beschwerde ist gemäss Art. 7 Abs. 1 VVG innert 20 Tagen nach Erhalt des angefochtenen Beschlusses anzuheben. Diese beiden Vorschriften bilden selbständiges kantonales Recht, welches als Ausführungsrecht zu Art. 24 RPG zu betrachten ist, soweit es in Ausnahmebewilligungsverfahren dieser Art angewendet wird und somit dem Vollzug von Art. 24 RPG dient. Obwohl es sich dabei, wie erwähnt, um selbständiges kantonales Ausführungsrecht zu Art. 24 RPG handelt, sind darauf gestützte Verfügungen wegen des Sachzusammenhangs mit Art. 24 RPG beim Bundesgericht mit Verwaltungsgerichtsbeschwerde anzufechten ( Art. 34 Abs. 1 RPG ). Dabei prüft das Bundesgericht im Rahmen der Verwaltungsgerichtsbeschwerde frei, ob das entsprechende kantonale Ausführungsrecht sich an den bundesrechtlichen Rahmen von Art. 24 RPG hält. Ist das der Fall, so wird die weitere Prüfung der Anwendung dieses kantonalen Rechts zwar ebenfalls im Rahmen der Verwaltungsgerichtsbeschwerde durchgeführt. Soweit dabei selbständiges kantonales Recht in Frage steht, richtet sich die Kognition des Bundesgerichts indessen nach den für die staatsrechtliche Beschwerde geltenden Grundsätzen (vgl. BGE 112 Ib 96 f., BGE 111 Ib 202 E. 2, nicht publizierte Urteile vom 8. November 1989 i.S. Risi E. 1c, vom 21. September 1989 i.S. Senn c. Gemeinde Fulenbach E. 2, vom 19. Dezember 1986 i.S. Gemeinde Saas E. 2c). Die Gemeinde Bösingen ist vom angefochtenen Entscheid betroffen und gemäss Art. 34 Abs. 2 RPG zur Beschwerde berechtigt ( Art. 103 lit. c OG ). Auf ihre fristgerecht eingereichte Verwaltungsgerichtsbeschwerde ist somit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