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469 vom 1. Januar 1990</w:t>
      </w:r>
    </w:p>
    <w:p>
      <w:r>
        <w:t>Bundesgericht (BGE), 1990-01-01, IT</w:t>
      </w:r>
    </w:p>
    <w:p>
      <w:r>
        <w:rPr>
          <w:b/>
        </w:rPr>
        <w:t xml:space="preserve">Quelle: </w:t>
      </w:r>
      <w:r>
        <w:t>https://mcp.opencaselaw.ch/entscheid/bge_BGE_116_IB_469</w:t>
      </w:r>
    </w:p>
    <w:p>
      <w:r>
        <w:t>FR: BGE BGE 116 IB 469 du 1 janvier 1990</w:t>
      </w:r>
    </w:p>
    <w:p>
      <w:r>
        <w:t>IT: BGE BGE 116 IB 469 del 1 gennaio 1990</w:t>
      </w:r>
    </w:p>
    <w:p>
      <w:pPr>
        <w:pStyle w:val="Heading2"/>
      </w:pPr>
      <w:r>
        <w:t>Regeste</w:t>
      </w:r>
    </w:p>
    <w:p>
      <w:r>
        <w:t>Regeste Rodungsbewilligung zur Förderung der baulichen Entwicklung einer Gemeinde. 1. Erlass einer Gewerbezone und Berücksichtigung des Walderhaltungsgebots (Art. 18 Abs. 3 RPG); Voraussetzungen für die Erteilung einer Rodungsbewilligung. Von der Rechtsprechung entwickelte Kriterien (E. 2a, b und c). 2. Im konkreten Fall ist das Erfordernis der relativen Standortgebundenheit gemäss Art. 26 Abs. 3 FPolV erfüllt und es liegen keine polizeilichen Gründen vor, die gegen die Rodung sprechen würden (E. 3a und b). 3. Es fehlt hingegen ein überwiegendes Interesse an der Durchführung der Rodung, da die Gründe, die eine harmonische Entwicklung der geplanten Industrie- und Gewerbezone gefährden könnten, nicht mehr bestehen (E. 3c).</w:t>
      </w:r>
    </w:p>
    <w:p>
      <w:r>
        <w:t>Regeste Octroi d'une autorisation de défrichement devant permettre le développement des constructions d'une commune. 1. Création d'une zone artisanale et industrielle et respect de l'aire forestière (art. 18 al. 3 LAT); conditions pour l'octroi d'une autorisation de défrichement. Critères développés par la jurisprudence (consid. 2a, b et c). 2. En l'espèce, il est satisfait à l'exigence - relative - de l'emplacement imposé par la destination de l'ouvrage selon l'art. 26 al. 3 OFor, et des raisons de police s'opposant au défrichement font défaut (consid. 3a et b). 3. Absence toutefois d'un intérêt prépondérant à l'exécution du défrichement, les motifs qui s'opposaient au développement harmonieux de la zone artisanale et industrielle projetée ayant disparu (consid. 3c).</w:t>
      </w:r>
    </w:p>
    <w:p>
      <w:r>
        <w:t>Regesto Rilascio di un'autorizzazione di dissodamento al fine di permettere lo sviluppo edilizio di un comune. 1. Formazione di una zona di utilizzazione (industriale e artigianale) e rispetto dell'area boschiva (art. 18 cpv. 3 LPT); presupposti per il rilascio del permesso di dissodamento. Criteri sviluppati dalla giurisprudenza (consid. 2a, b e c). 2. Ammessi nella fattispecie il presupposto dell'ubicazione vincolata di carattere relativo giusta l'art. 26 cpv. 3 OVPF e la mancanza di ragioni di polizia che si oppongono al dissodamento (consid. 3a e b). 3. Mancanza di un interesse preponderante all'attuazione del dissodamento, non sussistendo più i motivi che si opponevano allo sviluppo armonico della progettata zona industriale e artigianale (consid. 3c).</w:t>
      </w:r>
    </w:p>
    <w:p>
      <w:pPr>
        <w:pStyle w:val="Heading2"/>
      </w:pPr>
      <w:r>
        <w:t>Erwägungen</w:t>
      </w:r>
    </w:p>
    <w:p>
      <w:r>
        <w:rPr>
          <w:b/>
        </w:rPr>
        <w:t>E. 1</w:t>
      </w:r>
    </w:p>
    <w:p>
      <w:r>
        <w:t>Erlass einer Gewerbezone und Berücksichtigung des Walderhaltungsgebots ( Art. 18 Abs. 3 RPG ); Voraussetzungen für die Erteilung einer Rodungsbewilligung. Von der Rechtsprechung entwickelte Kriterien (E. 2a, b und c).</w:t>
      </w:r>
    </w:p>
    <w:p>
      <w:r>
        <w:rPr>
          <w:b/>
        </w:rPr>
        <w:t>E. 2</w:t>
      </w:r>
    </w:p>
    <w:p>
      <w:r>
        <w:t>Im konkreten Fall ist das Erfordernis der relativen Standortgebundenheit gemäss Art. 26 Abs. 3 FPolV erfüllt und es liegen keine polizeilichen Gründen vor, die gegen die Rodung sprechen würden (E. 3a und b).</w:t>
      </w:r>
    </w:p>
    <w:p>
      <w:r>
        <w:rPr>
          <w:b/>
        </w:rPr>
        <w:t>E. 3</w:t>
      </w:r>
    </w:p>
    <w:p>
      <w:r>
        <w:t>a) Nella fattispecie si deve ammettere il presupposto dell'ubicazione vincolata di carattere relativo giusta l' art. 26 cpv. 3 OVPF ; la mancanza di posti alternativi da adibire a scopi artigianali e industriali è stata accertata in occasione del sopralluogo. In tutto il territorio comunale esiste in effetti una sola area, posta a sud del vecchio nucleo del paese, adatta a quest'utilizzazione. Si tratta però di fondi pregiati per l'agricoltura, inseriti nel piano direttore cantonale come terreni agricoli di prima priorità e - a detta del pianificatore cantonale presente al sopralluogo - suscettibili di essere attribuiti alla superficie di avvicendamento colturale (SAC), che il piano di coltivazione della Confederazione impone ai cantoni. BGE 116 Ib 469 S. 474 È inoltre provata l'esigenza di una zona artigianale per il Comune di P., la cui creazione è auspicata anche dalle autorità del limitrofo Comune di B., al fine di regolare la precaria situazione nel campo degli alloggi. Infatti, all'insediamento di alcune industrie nella regione - in particolare appunto a P. - farebbe seguito un incremento di popolazione, atto a risolvere l'assillante problema degli appartamenti sfitti. b) Al dissodamento della particella n. 837 non si oppongono nemmeno ragioni di polizia. c) L'interesse all'attuazione dell'auspicato intervento non appare tuttavia preponderante. A differenza di quanto è detto nella risoluzione impugnata, la superficie da dissodare non è direttamente adiacente alla zona industriale del Comune di B., ma separata da quest'ultima da un terreno boscato e da fondi inseriti in una zona per edifici e attrezzature pubbliche. È esatto che il fondo silvestre limitrofo a quello in esame è oggetto di una mozione già accettata dal Consiglio comunale di B. Il progetto consiste nel coprire il canale artificiale - che in tal punto forma il confine comunale - al fine di poter creare un secondo campo di calcio. Tuttavia, il Consiglio di Stato non è stato finora chiamato a determinarsi sulla relativa variante di piano regolatore e nemmeno sul dissodamento necessario alla realizzazione dell'opera. Per di più, avendo il ricorrente ritirato il suo gravame concernente il fondo n. 516, non sussistono più i motivi che si opponevano allo sviluppo armonico di una zona industriale e artigianale in territorio del Comune di P. Ne deriva la mancanza della premessa dell'interesse preponderante al dissodamento dell'area boschiva che ricopre la particella n. 837; di conseguenza l'autorizzazione governativa dev'essere annullata. In queste circostanze non è più necessario esaminare se la vegetazione del fondo n. 837 sia da definire riparia ( art. 21 LPN ) e se il suo dissodamento presupponga anche il rilascio di un permesso straordinario giusta l' art. 22 LPN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