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241 vom 1. Januar 1990</w:t>
      </w:r>
    </w:p>
    <w:p>
      <w:r>
        <w:t>Bundesgericht (BGE), 1990-01-01, DE</w:t>
      </w:r>
    </w:p>
    <w:p>
      <w:r>
        <w:rPr>
          <w:b/>
        </w:rPr>
        <w:t xml:space="preserve">Quelle: </w:t>
      </w:r>
      <w:r>
        <w:t>https://mcp.opencaselaw.ch/entscheid/bge_BGE_116_IB_241</w:t>
      </w:r>
    </w:p>
    <w:p>
      <w:r>
        <w:t>FR: BGE BGE 116 IB 241 du 1 janvier 1990</w:t>
      </w:r>
    </w:p>
    <w:p>
      <w:r>
        <w:t>IT: BGE BGE 116 IB 241 del 1 gennaio 1990</w:t>
      </w:r>
    </w:p>
    <w:p>
      <w:pPr>
        <w:pStyle w:val="Heading2"/>
      </w:pPr>
      <w:r>
        <w:t>Regeste</w:t>
      </w:r>
    </w:p>
    <w:p>
      <w:r>
        <w:t>Regeste Zuständigkeit des Präsidenten der Eidg. Schätzungskommission, vorzeitige Besitzeinweisung (Art. 76 EntG). Streitigkeiten über Vereinbarungen, die nach Eröffnung des Enteignungsverfahrens abgeschlossen werden und deshalb öffentlichrechtlicher Natur sind, sind nicht vom Zivil-, sondern vom Verwaltungsrichter zu beurteilen (E. 2). Über Natur, Umfang und Inhalt der zu enteignenden Rechte entscheidet die Einsprachebehörde. Der Schätzungskommissions-Präsident hat daher weder im Besitzeinweisungsverfahren noch sonst darüber zu befinden, inwieweit und in welcher Form dem Enteigner das Eigentum an der von ihm unter öffentlichem Grund erstellten unterirdischen Baute zu übertragen sei (E. 3). Der Umfang der vorzeitigen Besitzeinweisung bestimmt sich, soweit die Voraussetzungen von Art. 76 EntG erfüllt sind, nach den Enteignungs- und Werkplänen bzw. - bei Enteignungen für Eisenbahnbauten - nach der Plangenehmigungsverfügung (E. 4). Der Schätzungskommissions-Präsident ist auch nicht befugt, im Besitzeinweisungsverfahren über die Bedürfnisse des Bahnbaues und das Bedürfnis zur Einrichtung von Nebenbetrieben zu urteilen; gemäss Art. 40 Abs. 1 lit. a und g des Eisenbahngesetzes entscheidet die Aufsichtsbehörde über solche Anstände (E. 5).</w:t>
      </w:r>
    </w:p>
    <w:p>
      <w:r>
        <w:t>Regeste Compétence du président de la Commission fédérale d'estimation, envoi en possession anticipé (art. 76 LEx). Les contestations relatives aux conventions qui ont été conclues après l'ouverture de la procédure d'expropriation et qui sont donc de nature de droit public ne doivent pas être tranchées par le juge civil, mais par le juge administratif (consid. 2). L'autorité compétente en matière d'opposition statue sur la nature, l'étendue et le contenu des droits à exproprier. Le président de la commission d'estimation n'a donc pas à décider, de façon générale et dans la procédure d'envoi en possession anticipé en particulier, dans quelle mesure et sous quelle forme la propriété d'une construction souterraine entreprise par l'expropriant sous sol public doit lui être transférée (consid. 3). L'étendue de l'envoi en possession anticipé se détermine, si les conditions de l'art. 76 LEx sont réunies, d'après les plans de l'ouvrage et de l'expropriation, c'est-à-dire - en cas d'expropriation pour la construction de chemins de fer - d'après la décision d'approbation des plans (consid. 4). Le président de la commission d'estimation n'est pas non plus compétent pour statuer, dans la procédure d'envoi en possession anticipé, sur les exigences de la construction ferroviaire et la nécessité d'installer des services accessoires; selon l'art. 40 al. 1 let. a et g de la loi sur les chemins de fer, c'est l'autorité de surveillance qui règle les contestations relatives à ce genre de questions (consid. 5).</w:t>
      </w:r>
    </w:p>
    <w:p>
      <w:r>
        <w:t>Regesto Competenza del presidente della Commissione federale di stima, anticipata immissione in possesso (art. 76 LEspr). Le controversie relative alle convenzioni concluse dopo che sia stata aperta la procedura di espropriazione sono di diritto pubblico e non vanno quindi decise dal giudice civile, bensì da quello amministrativo (consid. 2). L'autorità competente a decidere sulle opposizioni statuisce sulla natura, l'estensione e il contenuto dei diritti da espropriare. Al presidente della Commissione federale di stima non incombe quindi di decidere nella procedura di anticipata immissione in possesso né in altra sede in quale misura e in quale forma la proprietà della costruzione sotterranea effettuata sotto il suolo pubblico dall'espropriante debba essere a questi trasferita (consid. 3). L'estensione dell'anticipata immissione in possesso va determinata, quando siano adempiute le condizioni di cui all'art. 76 LEspr, secondo i piani dell'espropriazione e dell'opera, cioè, in caso di espropriazione per costruzioni ferroviarie, secondo la decisione di approvazione dei piani (consid. 4). Il presidente della Commissione federale di stima non è neppure competente a decidere, nella procedura d'anticipata immissione in possesso, sulle esigenze della costruzione ferroviaria e sulla necessità d'istituire servizi accessori; conformemente all'art. 40 cpv. 1 lett. b e g della legge sulle ferrovie, tali contestazioni sono giudicate dall'autorità di vigilanza (consid. 5).</w:t>
      </w:r>
    </w:p>
    <w:p>
      <w:pPr>
        <w:pStyle w:val="Heading2"/>
      </w:pPr>
      <w:r>
        <w:t>Erwägungen</w:t>
      </w:r>
    </w:p>
    <w:p>
      <w:r>
        <w:rPr>
          <w:b/>
        </w:rPr>
        <w:t>E. 2</w:t>
      </w:r>
    </w:p>
    <w:p>
      <w:r>
        <w:t>Der Präsident der Schätzungskommission hat in der angefochtenen Verfügung seine Zuständigkeit zur Beurteilung des von der Stadt Zürich gestellten Begehrens aus verschiedenen Gründen verneint und zunächst ausgeführt, eine negative Feststellungsklage des Enteigneten sei im Enteignungsgesetz nicht vorgesehen und auch nicht notwendig, da sich der Grundeigentümer mit seinen ihm durch das Zivilgesetzbuch eingeräumten Abwehrrechten gegen unberechtigte Eingriffe zur Wehr setzen und hiezu den Zivilrichter anrufen könne. Dieser Betrachtungsweise ist jedoch im vorliegenden Fall nicht zu folgen. Es ist unbestritten, dass die Enteignerinnen den Schätzungskommissions-Präsidenten nie um Erlaubnis zur vorzeitigen Inbesitznahme der Grundstücke der Stadt Zürich ersuchen mussten, vielmehr haben die Stadt und die SBB verschiedene Vereinbarungen über die Inanspruchnahme der Strassenflächen, über die Inangriffnahme der Bauarbeiten sowie über die Art der Bauausführung geschlossen. Diese Vereinbarungen sind, da sie nach Eröffnung des Enteignungsverfahrens getroffen wurden, öffentlichrechtlicher Natur und stellen Enteignungsverträge dar. Über die Frage, wie weit die Enteignerinnen mit ausdrücklichem oder BGE 116 Ib 241 S. 245 stillschweigendem Einverständnis der Stadt in deren Grundeigentum haben eingreifen dürfen, hat daher nicht der Zivilrichter, sondern die Verwaltungsbehörde bzw. der Verwaltungsrichter zu entscheiden ( BGE 114 Ib 147 ff. E. 3b mit den dort zitieren Entscheiden). Das heisst allerdings noch nicht, dass der Schätzungskommissions-Präsident zur Behandlung des Begehrens der Stadt Zürich kompetent gewesen wäre.</w:t>
      </w:r>
    </w:p>
    <w:p>
      <w:r>
        <w:rPr>
          <w:b/>
        </w:rPr>
        <w:t>E. 3</w:t>
      </w:r>
    </w:p>
    <w:p>
      <w:r>
        <w:t>Im angefochtenen Entscheid wird weiter dargelegt, der Enteignungsrichter habe weder im Besitzeinweisungsverfahren noch sonst darüber zu befinden, welche öffentlichen Werke bzw. welche Teile eines Werkes auf welchen Grundstücken errichtet werden dürften; dies sei Gegenstand des Einspracheverfahrens. Es müsse daher von der Einsprachebehörde beurteilt werden, welche Rechte den SBB als Enteignerinnen an den kommerziell genutzten Teilen der Bahnhofanlage einzuräumen bzw. welche Rechte der Stadt Zürich als Grundeigentümerin zu belassen seien. Diesen Überlegungen ist trotz der Kritik der Beschwerdeführerin zuzustimmen. a) Zu Recht stellt die Beschwerdeführerin an sich nicht in Frage, dass auch der öffentliche, im Gemeingebrauch stehende Grund Gegenstand der Enteignung bilden kann. Enteignet werden können gemäss Art. 5 in Verbindung mit Art. 7 Abs. 1 des Bundesgesetzes über die Enteignung (abgesehen von den hier nicht interessierenden persönlichen Rechten von Mietern und Pächtern) alle dinglichen Rechte an Grundstücken, die privaten oder öffentlichen Zwecken dienen (vgl. BGE 104 Ib 347 E. 6a, 352 f.). Diese Rechte dürfen nach Art. 5 Abs. 2 EntG dauernd oder vorübergehend entzogen oder beschränkt werden, wobei sie auf den Enteigner zu übertragen sind, falls er sie für sein Werk benötigt, oder unterdrückt werden, wenn sie das Unternehmen lediglich behindern ( BGE 116 Ib 16 f. E. 2aa, 22 f. E. 3b). Art. 5 EntG umschreibt das Objekt der Enteignung abschliessend. Das heisst einerseits, dass auf dem Wege der (Teil-)Enteignung keine dinglichen Rechte geschaffen werden können, die das Zivilrecht nicht vorsieht oder ausdrücklich ausschliesst, wie etwa das Baurecht an einzelnen Stockwerken eines Gebäudes ( Art. 675 Abs. 2 ZGB ; BGE 105 Ib 191 ff., s. auch BGE 106 Ib 235 E. 3). Es bedeutet andererseits, dass nur private Rechte als Gegenstand der Expropriation in Betracht fallen und dem Gemeinwesen für die Einschränkung von Hoheitsrechten, selbst wenn diese mittelbar auf den Bau eines öffentlichen Werkes zurückzuführen ist, kein Anspruch auf BGE 116 Ib 241 S. 246 Enteignungsentschädigung zusteht ( BGE 109 Ib 34 , BGE 101 Ib 59 ff. E. 3). Im übrigen ist die Enteignung von Grundstücken, die einem öffentlichen Zweck dienen, nur zulässig, falls der Enteigner die Fortbenützung bestehender öffentlicher Einrichtungen sicherstellt, soweit dies durch das öffentliche Interesse gefordert wird ( Art. 7 Abs. 2 EntG , BGE 104 Ib 347 , 352). Über die Natur, den Umfang und Inhalt der zu enteignenden Rechte sowie über die Frage, ob und inwieweit die Voraussetzungen für eine Enteignung überhaupt erfüllt seien, entscheidet - abgesehen von den Ausdehnungsbegehren - nicht die Schätzungskommission, sondern die Einsprachebehörde, in der Regel das in der Sache zuständige Departement ( Art. 35 und 55 EntG ; BGE 111 Ib 228 E. 2a, 109 Ib 133 E. 2a, BGE 108 Ib 376 f. E. 2, BGE 103 Ib 94 ). Ebenfalls im Einspracheverfahren zu beurteilen sind die Planänderungsgesuche und die Begehren gemäss Art. 7-10 EntG , so auch die Gesuche um Vorkehren zur Sicherstellung von öffentlichen Einrichtungen wie Wege und Brücken ( Art. 7 Abs. 2 EntG ; vgl. BGE 114 Ib 35 , 111 Ib 282 ff., BGE 108 Ib 497 ). Dagegen befindet die Schätzungskommission im Anschluss an den Einspracheentscheid darüber, ob trotz solcher Vorkehren des Enteigners ein Schaden entstanden sei ( Art. 64 Abs. 1 lit c EntG ; BGE 111 Ib 283 E. 2, 104 Ib 355 E. 3), wem die frei gewordenen und neu erstellten Anlagen gehörten und wer für deren Unterhalt aufzukommen habe ( Art. 26 und 64 Abs. 1 lit. d EntG ). b) Im vorliegenden Fall ist umstritten, welche Rechte den Enteignerinnen für den Bau und Betrieb des unterirdischen Bahnhofes zu übertragen seien. Die SBB vertreten sogar die Ansicht, sie brauchten das Enteignungsrecht überhaupt nicht auszuüben, da die Bahn die Museumstrasse unterirdisch kreuze und ihr nach Art. 25 EBG ein Legalservitut für die unentgeltliche Benützung von Grund und Boden an der Kreuzungsstelle zustehe; allenfalls sei den SBB im Enteignungsverfahren eine Personaldienstbarkeit für den Betrieb der ganzen Anlage einzuräumen. Demgegenüber bleibt die Stadt Zürich bei der Auffassung, dass die SBB an den kommerziell genutzten Flächen keine Rechte auf dem Enteignungswege erwerben könnten. Der Entscheid darüber, inwieweit hier die Enteignung statthaft sei und ob den SBB allenfalls nach der Anregung des Schätzungskommissions-Präsidenten ein selbständiges und dauerndes - allerdings auf hundert Jahre befristetes ( Art. 779l Abs. 1 ZGB , BGE 99 Ia 478 ) - Baurecht zu bestellen, eine andere Dienstbarkeit ( Art. 781 ZGB ) oder ein BGE 116 Ib 241 S. 247 Überbaurecht ( Art. 674 ZGB ) einzuräumen sei, fällt aber nach dem Gesagten in die Kompetenz der Einspracheinstanz. Die Akten sind daher zu Recht dem Eidgenössischen Verkehrs- und Energiewirtschaftsdepartement zum Einspracheentscheid überwiesen worden.</w:t>
      </w:r>
    </w:p>
    <w:p>
      <w:r>
        <w:rPr>
          <w:b/>
        </w:rPr>
        <w:t>E. 4</w:t>
      </w:r>
    </w:p>
    <w:p>
      <w:r>
        <w:t>Der Schätzungskommissions-Präsident hat im übrigen darauf hingewiesen, dass im vorliegenden Fall, in dem das Enteignungsverfahren getrennt vom Plangenehmigungsverfahren durchgeführt werde, die Gewährung oder Verweigerung der vorzeitigen Besitzeinweisung sich allein nach Art. 76 EntG richte. Indessen bestimme sich der Umfang der Besitzeinweisung anhand der Plangenehmigung, die für den Enteignungsrichter verbindlich sei. Hätten die SBB ein Gesuch um Besitzeinweisung gestellt, hätte diese daher für die ganze bewilligte Anlage gewährt werden müssen und wäre es unzulässig gewesen, einzelne Bauteile ihrer unterschiedlichen Nutzung wegen auszuklammern. Auch diesen Erwägungen kann im Ergebnis beigepflichtet werden. a) Der Enteigner erwirbt das Eigentum am enteigneten Grundstück oder das auf dem Enteignungswege an einem Grundstück eingeräumte Recht erst durch die Bezahlung der Entschädigung oder des nach Art. 19bis Abs. 2 EntG festgesetzten Betrages ( Art. 91 Abs. 1 EntG ). Vor der Bezahlung der Entschädigung kann er einzig unter den in Art. 76 EntG genannten Voraussetzungen zur vorzeitigen Besitzergreifung oder Ausübung der Rechte ermächtigt werden. Die vorzeitige Besitzeinweisung ist seit der Revision des Enteignungsgesetzes im Jahre 1971 schon möglich, bevor über die Einsprachen und Begehren nach Art. 7-10 EntG rechtskräftig entschieden ist, wobei zusätzlich vorausgesetzt wird, dass keine bei nachträglicher Gutheissung der Einsprachen nicht wiedergutzumachenden Schäden entstehen ( Art. 76 Abs. 4 EntG ). Dies muss mit Blick auf den Zweck der Gesetzesreform (vgl. BGE 115 Ib 22 E. 5a und dort zitierte Entscheide) auch gelten, wenn im Einspracheverfahren - wie hier - umstritten ist, welcher Art die an das Unternehmen abzutretenden Rechte seien oder wie sie im einzelnen ausgestaltet werden müssten. b) Der Umfang der vorzeitigen Besitzeinweisung bestimmt sich, wie der Schätzungskommissions-Präsident festgestellt hat, nach dem Werkplan, den Enteignungsplänen sowie nach dem - unter dem Gesichtspunkt der Dringlichkeit zu prüfenden - Bauprogramm. Entgegen dem angefochtenen Entscheid wird allerdings auch in Enteignungsverfahren, die losgelöst vom eisenbahnrechtlichen Plangenehmigungsverfahren ablaufen, für die vorzeitige BGE 116 Ib 241 S. 248 Besitzergreifung zunächst verlangt, dass der Stand des Plangenehmigungsverfahrens die Inangriffnahme der Bauarbeiten gestatte. Das ergibt sich für die altrechtlichen Verfahren aus Art. 34 der Verordnung über die Planvorlagen für Eisenbahnbauten vom 23. Dezember 1932 und für das neue sog. ordentliche Verfahren aus Art. 34 Abs. 1 der am 26. November 1984 revidierten Verordnung, welche beide den Baubeginn erst erlauben, wenn die Plangenehmigungsverfügung in Rechtskraft erwachsen ist. Dagegen muss nach unlängst ergangenem bundesgerichtlichem Urteil im sog. kombinierten Verfahren bei Weiterzug der vom Bundesamt für Verkehr erlassenen Plangenehmigungsverfügung nur der Departementsentscheid abgewartet werden ( BGE 115 Ib 424 ff.). Diese Ungenauigkeit der Erwägungen des Schätzungskommissions-Präsidenten ist jedoch unerheblich, sind doch im vorliegenden Fall die Plangenehmigungsverfügungen für den Bahnhof Museumstrasse längst rechtskräftig (Generelle Plangenehmigungsverfügung für die Zürcher S-Bahn vom 9. November 1983, Plangenehmigungsverfügung für die oberirdisch in Erscheinung tretenden Anlageteile im Bereich Museumstrasse vom 1. Oktober 1985 und Plangenehmigungsverfügung über den Um- und Ausbau des Annahmegebäudes des HB Zürich sowie über den Innenausbau des Bahnhofes Museumstrasse vom 26. März 1986). c) Aus den genannten Plangenehmigungsverfügungen ergibt sich, dass die Erstellung des ganzen die Bahn- und übrigen Anlagen aufnehmenden Baukubus bewilligt worden ist, der teils unter dem bestehenden Hauptbahnhof-Gebäude und teils unter der Museumstrasse liegt. Die vorzeitige Besitzergreifung hätte daher, wäre um sie ersucht worden, für das ganze Bauvolumen gewährt werden müssen. Die Frage, welche dinglichen Rechte den SBB schliesslich an der unterirdischen Baute zu übertragen seien und ob allenfalls gewisse Teile davon im Eigentum und Nutzen der Stadt Zürich verbleiben müssten, ist wie erwähnt nicht im Besitzeinweisungs-, sondern im Einspracheverfahren abzuklären. Für die Besitzeinweisung hätte die Feststellung genügt, dass der Enteigner für den Bau des Werkes über das ganze fragliche Bauvolumen sowie vorübergehend über den für die Bauarbeiten benötigten weiteren Boden verfügen musste. Eine Aussparung gewisser Flächen oder Räume, wie sie die Stadt Zürich verlangt, wäre denn auch aus bautechnischen Gründen nicht möglich gewesen. Im übrigen hätte auch die zusätzliche Bedingung von Art. 76 Abs. 4 EntG - dass keine nicht wiedergutzumachenden Schäden BGE 116 Ib 241 S. 249 verursacht werden - der vorzeitigen Besitzeinweisung nicht entgegengestanden, da bei einer Gutheissung der Einsprache der Stadt Zürich lediglich finanzielle Verpflichtungen der Enteignerinnen entstehen, denen diese noch jederzeit nachkommen können.</w:t>
      </w:r>
    </w:p>
    <w:p>
      <w:r>
        <w:rPr>
          <w:b/>
        </w:rPr>
        <w:t>E. 5</w:t>
      </w:r>
    </w:p>
    <w:p>
      <w:r>
        <w:t>Schliesslich hat der Schätzungskommissions-Präsident zu Recht bemerkt, das Besitzeinweisungsverfahren könne nicht der Ort sein, um darüber zu befinden, inwieweit die SBB in den unterirdischen Räumlichkeiten Nebenbetriebe im Sinne von Art. 39 Abs. 1 des Eisenbahngesetzes (EBG) einrichten oder andere kommerzielle Tätigkeiten ausüben dürften und welchen gewerbe-, gesundheits- und wirtschaftspolizeilichen Vorschriften diese Betriebe unterstünden. Über solche Anstände entscheidet gemäss Art. 40 Abs. 1 lit. g EBG die Aufsichtsbehörde, somit das Bundesamt für Verkehr. Dass Auseinandersetzungen dieser Art auch entstehen können, wo keine Enteignung im Gange ist, braucht übrigens kaum betont zu werden, streiten sich doch die Parteien nicht nur über die Nebenbetriebe unter der Museumstrasse, sondern über alle im Hauptbahnhof Zürich einzurichtenden Geschäfte. Der Vollständigkeit halber sei beigefügt, dass die Prüfung der Frage, ob für die Nebenbetriebe ein Plangenehmigungsverfahren im Sinne von Art. 18 EBG durchzuführen sei oder diese gemäss Art. 18a EBG einer kantonalen Baubewilligung bedürften, ebenfalls nicht dem Schätzungskommissions-Präsidenten obliegt. Auch über solche Streitigkeiten entscheidet nach ausdrücklicher gesetzlicher Bestimmung die Aufsichtsbehörde ( Art. 40 lit. a EBG ), deren Verfügung beim Departement und schliesslich - da es um die Abgrenzung von kantonalem und Bundesrecht geht ( BGE 111 Ib 38 , nicht publ. E. 1) - mit Verwaltungsgerichtsbeschwerde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