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235 vom 1. Januar 1990</w:t>
      </w:r>
    </w:p>
    <w:p>
      <w:r>
        <w:t>Bundesgericht (BGE), 1990-01-01, DE</w:t>
      </w:r>
    </w:p>
    <w:p>
      <w:r>
        <w:rPr>
          <w:b/>
        </w:rPr>
        <w:t xml:space="preserve">Quelle: </w:t>
      </w:r>
      <w:r>
        <w:t>https://mcp.opencaselaw.ch/entscheid/bge_BGE_116_IB_235</w:t>
      </w:r>
    </w:p>
    <w:p>
      <w:r>
        <w:t>FR: BGE BGE 116 IB 235 du 1 janvier 1990</w:t>
      </w:r>
    </w:p>
    <w:p>
      <w:r>
        <w:t>IT: BGE BGE 116 IB 235 del 1 gennaio 1990</w:t>
      </w:r>
    </w:p>
    <w:p>
      <w:pPr>
        <w:pStyle w:val="Heading2"/>
      </w:pPr>
      <w:r>
        <w:t>Regeste</w:t>
      </w:r>
    </w:p>
    <w:p>
      <w:r>
        <w:t>Regeste Materielle Enteignung, Zwischenentscheid. 1. Eine Verletzung von kantonalem Recht aus dem Bereich von Art. 5 Abs. 2 RPG ist mit Verwaltungsgerichtsbeschwerde geltend zu machen (E. 1). 2. Zulässigkeit der Verwaltungsgerichtsbeschwerde gegen einen Zwischenentscheid (E. 2). 3. Die Frage, ob eine materielle Enteignung vorliege, ist von Amtes wegen abzuklären, selbst wenn die Parteien diesen Tatbestand anerkennen (E. 2b).</w:t>
      </w:r>
    </w:p>
    <w:p>
      <w:r>
        <w:t>Regeste Expropriation matérielle, décision incidente. 1. Le recours de droit administratif peut avoir pour objet une violation du droit cantonal adopté en application de l'art. 5 al. 2 LAT (consid. 1). 2. Recevabilité du recours de droit administratif contre une décision incidente (consid. 2). 3. Le Tribunal fédéral examine d'office si l'on se trouve en présence d'un cas d'expropriation matérielle, même si les parties l'admettent (consid. 2b).</w:t>
      </w:r>
    </w:p>
    <w:p>
      <w:r>
        <w:t>Regesto Espropriazione materiale, decisione incidentale. 1. Una violazione del diritto cantonale adottato in applicazione dell'art. 5 cpv. 2 LPT va fatta valere con ricorso di diritto amministrativo (consid. 1). 2. Ammissibilità del ricorso di diritto amministrativo contro una decisione incidentale (consid. 2). 3. Va esaminato d'ufficio se ci si trovi in presenza di un'espropriazione materiale, e ciò anche se le parti ammettano l'esistenza di quest'ultima (consid. 2b).</w:t>
      </w:r>
    </w:p>
    <w:p>
      <w:pPr>
        <w:pStyle w:val="Heading2"/>
      </w:pPr>
      <w:r>
        <w:t>Erwägungen</w:t>
      </w:r>
    </w:p>
    <w:p>
      <w:r>
        <w:rPr>
          <w:b/>
        </w:rPr>
        <w:t>E. 1</w:t>
      </w:r>
    </w:p>
    <w:p>
      <w:r>
        <w:t>a) Das Bundesgericht prüft von Amtes wegen, ob auf die Verwaltungsgerichtsbeschwerde eingetreten werden kann ( BGE 115 Ib 459 mit Hinweisen). b) Gegenstand des vorliegenden Verfahrens bildet die Frage, ob die im Jahre 1980 durch die Churer Stimmbürger beschlossene Zonenplanänderung zu Lasten der Stiftung Priesterseminar St. Luzi eine materielle Enteignung im Sinne von Art. 5 Abs. 2 des Bundesgesetzes über die Raumplanung vom 22. Juni 1979 (RPG) bewirkt hat. Der Begriff der materiellen Enteignung ist bundesrechtlich abschliessend geregelt und für die Kantone verbindlich ( BGE 112 Ib 496 ; BGE 110 Ib 31 ; Urteil des Bundesgerichts vom BGE 116 Ib 235 S. 238 18. August 1989 i.S. Stiftung Priesterseminar St. Luzi, E. 1a). Insofern liegt in materieller Hinsicht eine bundesrechtliche Streitsache vor, welche grundsätzlich der Verwaltungsgerichtsbeschwerde unterliegt. Daran ändert nichts, dass der angefochtene Entscheid auch auf kantonalem Recht beruht. Nach der Rechtsprechung ist auch der Verstoss gegen kantonales Recht aus dem Bereich von Art. 5 Abs. 2 RPG - unabhängig davon, ob es sich um unselbständige Ausführungsvorschriften oder um selbständiges Ergänzungsrecht handelt - mit Verwaltungsgerichtsbeschwerde geltend zu machen ( BGE 114 Ib 348 mit Hinweisen). Soweit selbständiges kantonales Recht in Frage steht, beschränkt sich das Bundesgericht indessen auf Willkürprüfung ( BGE 112 Ib 96 f.).</w:t>
      </w:r>
    </w:p>
    <w:p>
      <w:r>
        <w:rPr>
          <w:b/>
        </w:rPr>
        <w:t>E. 2</w:t>
      </w:r>
    </w:p>
    <w:p>
      <w:r>
        <w:t>Mit dem angefochtenen Entscheid ist das Enteignungsverfahren noch nicht abgeschlossen. Entschieden wurde einzig die Frage, ob die Stadt Chur den Tatbestand der materiellen Enteignung nachträglich gültig bestritten habe. Das Verwaltungsgericht hat diese Frage verneint und die Sache der Enteignungskommission zugewiesen mit dem Auftrag, das Schätzungsverfahren durchzuführen. Es handelt sich somit um einen letztinstanzlichen Zwischenentscheid, der bloss einen Schritt auf dem Weg zum Endentscheid darstellt ( BGE 108 Ib 381 ). Dieser Zwischenentscheid kann nur dann selbständig mit Verwaltungsgerichtsbeschwerde ans Bundesgericht weitergezogen werden, wenn er einen nicht wiedergutzumachenden Nachteil bewirken kann ( Art. 97 OG i.V.m. Art. 5 und 45 VwVG ). Diese Voraussetzung ist anders als im staatsrechtlichen Beschwerdeverfahren schon als erfüllt zu betrachten, wenn der Beschwerdeführer ein schutzwürdiges Interesse an der sofortigen Aufhebung oder Abänderung des Entscheides hat ( BGE 112 Ib 421 f. mit Hinweisen). Ob ein solcher Nachteil vorliegt, ist im folgenden zu prüfen. a) Das Verwaltungsgericht hat im angefochtenen Entscheid festgestellt, dass die Stadt Chur den Tatbestand der materiellen Enteignung nicht gültig bestritten hat. Die Anerkennung oder Bestreitung einer materiellen Enteignung wirkt sich gemäss kantonalem Enteignungsgesetz auf den Fortgang des Verfahrens aus. Art. 22 Abs. 3 kEntG regelt dazu folgendes: "Hält das belangte Gemeinwesen eine Forderung aus materieller Enteignung für unbegründet, überweist der Präsident der Enteignungskommission die Akten an das Verwaltungsgericht zum Entscheid über das Vorliegen einer BGE 116 Ib 235 S. 239 materiellen Enteignung." Bestreitet demnach das Gemeinwesen das Vorliegen einer materiellen Enteignung, so wird die Sache dem Verwaltungsgericht überwiesen. Dieses hat alsdann in einem (selbständig anfechtbaren) Entscheid festzustellen, ob eine materielle Enteignung im Sinne von Art. 5 Abs. 2 RPG vorliege oder nicht. Wird diese Frage verneint, weist es die Klage ab. Kommt das Gericht hingegen zum gegenteiligen Schluss, sind die Akten der Enteignungskommission zuzuweisen, damit sie das Schätzungsverfahren gemäss Art. 11 ff. der Vollziehungsverordnung vom 29. Mai 1958 zum Enteignungsgesetz (VVkEntG) einleite (Art. 22 Abs. 4 kEntG). Der Entscheid der Enteignungskommission über die Höhe der geschuldeten Entschädigung - nicht mehr aber über die bereits rechtskräftig bejahte Frage des Vorliegens einer materiellen Enteignung an sich - ist in der Folge an das Verwaltungsgericht weiterziehbar (Art. 20 lit. k i.V.m. Art. 22 Abs. 1 kEntG). b) Ist das Gemeinwesen - mit dem Forderungskläger - der Auffassung, dass der Tatbestand der materiellen Enteignung erfüllt ist, so erübrigt sich gemäss Art. 22 Abs. 3 kEntG e contrario eine Überweisung der Streitsache an das Verwaltungsgericht; die Enteignungskommission hat in diesen Fällen direkt das Schätzungsverfahren gemäss Art. 11 ff. VVkEntG einzuleiten. Anders als indessen aus dem Wortlaut von Art. 22 Abs. 3 kEntG geschlossen werden könnte, ist die Kommission an die übereinstimmenden Erklärungen der Parteien nicht gebunden. Vielmehr ist von Bundesrechts wegen auch in diesen Fällen zu fordern, dass die Enteignungskommission das Vorliegen einer materiellen Enteignung von Amtes wegen im Schätzungsverfahren prüft (vgl. auch Art. 15 Abs. 1 VVkEntG). Kommt sie dabei zum Schluss, dass trotz übereinstimmender (den Tatbestand der materiellen Enteignung bejahender) Parteierklärungen keine materielle Enteignung vorliegt, so ist keine Entschädigung zuzusprechen. Denn mit der Verneinung des Vorliegens einer materiellen Enteignung ist zugleich ausgesagt, dass keine zu entschädigende Vermögenseinbusse beim Kläger entstanden ist (vgl. ENRICO RIVA, Hauptfragen der materiellen Enteignung, Bern 1990, S. 252 ff.). Die Frage, ob im Einzelfall eine materielle Enteignung im Sinne von Art. 5 Abs. 2 RPG vorliegt, darf deshalb im Rahmen eines förmlichen staatlichen Verfahrens nicht allein der Disposition der Parteien überlassen werden. Anders entscheiden hiesse, auf kantonaler Ebene Abweichungen vom Begriff der materiellen Enteignung zu gestatten, was angesichts seiner bundesrechtlichen Natur nicht zulässig BGE 116 Ib 235 S. 240 ist. Der Entscheid der Enteignungskommission ist gemäss Art. 20 lit. k i.V.m. Art. 22 Abs. 1 kEntG an das Verwaltungsgericht weiterziehbar; dieses hat - entgegen der in der Präsidialverfügung vom 5. Mai 1988 geäusserten Meinung - nicht nur die Höhe der Entschädigung, sondern vorab auch die in diesem Verfahrensstadium noch nicht entschiedene Frage des Vorliegens einer materiellen Enteignung an sich zu prüfen. Als Zwischenergebnis ist somit festzuhalten, dass die Frage, ob eine materielle Enteignung vorliege, von Amtes wegen abzuklären ist, selbst wenn die Parteien diesen Tatbestand anerkennen. c) Aus diesen Erwägungen folgt für den vorliegenden Fall, dass der angefochtene Entscheid nicht bedeutet, die Frage, ob eine materielle Enteignung vorliege, müsse nicht mehr geprüft werden. Das Verwaltungsgericht hat "vorfrageweise" festgestellt, dass die Stadt Chur den Tatbestand der materiellen Enteignung nicht gültig bestritten habe, weshalb die Enteignungskommission das Schätzungsverfahren gemäss Art. 11 ff. VVkEntG einzuleiten habe. Es hat indessen nicht darüber entschieden, ob eine materielle Enteignung vorliege oder nicht. Dies hat - wie dargelegt - zur Folge, dass die Enteignungskommission über diese Frage im Schätzungsverfahren zu befinden haben wird, da sie bisher nicht rechtskräftig beurteilt wurde. Der Entscheid der Kommission kann gemäss Art. 20 lit. k i.V.m. Art. 22 Abs. 1 kEntG sowohl bezüglich der Frage des Vorliegens einer materiellen Enteignung als auch bezüglich der Höhe einer allfälligen Entschädigung beim Verwaltungsgericht und anschliessend beim Bundesgericht angefochten werden. Daraus folgt aber, dass der Stadt Chur kein nicht wiedergutzumachender Nachteil erwächst, wenn die vorliegende Beschwerde nicht unverzüglich behandelt wird. Auf die Verwaltungsgerichtsbeschwerde ist demnach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