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236 vom 1. Januar 2021</w:t>
      </w:r>
    </w:p>
    <w:p>
      <w:r>
        <w:t>Bundesgericht (BGE), 2021-01-01, DE</w:t>
      </w:r>
    </w:p>
    <w:p>
      <w:r>
        <w:rPr>
          <w:b/>
        </w:rPr>
        <w:t xml:space="preserve">Quelle: </w:t>
      </w:r>
      <w:r>
        <w:t>https://mcp.opencaselaw.ch/entscheid/bge_BGE_116_IA_236</w:t>
      </w:r>
    </w:p>
    <w:p>
      <w:r>
        <w:t>FR: BGE BGE 116 IA 236 du 1 janvier 2021</w:t>
      </w:r>
    </w:p>
    <w:p>
      <w:r>
        <w:t>IT: BGE BGE 116 IA 236 del 1 gennaio 2021</w:t>
      </w:r>
    </w:p>
    <w:p>
      <w:pPr>
        <w:pStyle w:val="Heading2"/>
      </w:pPr>
      <w:r>
        <w:t>Regeste</w:t>
      </w:r>
    </w:p>
    <w:p>
      <w:r>
        <w:t>Regeste Art. 15 RPG; Grösse der Bauzone, Nichteinzonung kleinerer Gebiete.</w:t>
      </w:r>
    </w:p>
    <w:p>
      <w:r>
        <w:t>Regeste Art. 15 LAT; étendue de la zone à bâtir, refus d'y inclure de petites surfaces.</w:t>
      </w:r>
    </w:p>
    <w:p>
      <w:r>
        <w:t>Regesto Art. 15 LPT; estensione della zona edificabile; rifiuto d'includervi piccole superficie.</w:t>
      </w:r>
    </w:p>
    <w:p>
      <w:pPr>
        <w:pStyle w:val="Heading2"/>
      </w:pPr>
      <w:r>
        <w:t>Volltext</w:t>
      </w:r>
    </w:p>
    <w:p>
      <w:r>
        <w:t>Bundesgericht (BGE) sonstiges BGE 116 IA 236 Tribunal fédéral (ATF) autres BGE 116 IA 236 Tribunale federale (DTF) diversi BGE 116 IA 236</w:t>
      </w:r>
    </w:p>
    <w:p>
      <w:r>
        <w:t>Regeste Art. 15 RPG; Grösse der Bauzone, Nichteinzonung kleinerer Gebiete. Regeste Art. 15 LAT; étendue de la zone à bâtir, refus d'y inclure de petites surfaces. Regesto Art. 15 LPT; estensione della zona edificabile; rifiuto d'includervi piccole superficie.</w:t>
      </w:r>
    </w:p>
    <w:p>
      <w:r>
        <w:t>Urteilskopf 116 Ia 236 38. Auszug aus dem Urteil der I. öffentlichrechtlichen Abteilung vom 27. Juli 1990 i.S. B. und Mitbeteiligte gegen Einwohnergemeinde Kappel und Regierungsrat des Kantons Solothurn (staatsrechtliche Beschwerde) Regeste Art. 15 RPG ; Grösse der Bauzone, Nichteinzonung kleinerer Gebiete. Erwägungen ab Seite 236 BGE 116 Ia 236 S. 236 Aus den Erwägungen: Im teilweisen Nichtgenehmigungsentscheid des Regierungsrats (vgl. BGE 116 Ia 222 f.) kann unter dem Aspekt der Bauzonengrösse keine Verletzung verfassungsmässiger Rechte erblickt werden. Auch der Umstand, dass sich Land bisher in einer Bauzone befand, steht einer Nichteinzonung grundsätzlich nicht entgegen, wenn es darum geht, einen Zonenplan mit einer derart übergrossen Bauzone wie diejenige des Zonenplans der Einwohnergemeinde Kappel aus dem Jahre 1968 an die Planungsgrundsätze des Raumplanungsgesetzes anzupassen bzw. diesen anzunähern ( BGE 115 Ia 387 E. 4; BGE 114 Ia 33 mit Hinweisen). Ein solches Vorgehen verstösst weder gegen das Gebot der Rechtssicherheit noch gegen das Prinzip von Treu und Glauben. Die Beschwerdeführer erklären, durch die Einzonung ihrer hier umstrittenen Parzellen werde das Fassungsvermögen der Bauzone der Einwohnergemeinde Kappel lediglich um maximal 150 Einwohner erhöht. Das sei im Verhältnis zur Gesamteinwohnerzahl und zum gesamten eingezonten Baugebiet der Gemeinde zu BGE 116 Ia 236 S. 237 vernachlässigen. Dieser Auffassung kann nicht gefolgt werden. Um eine zu grosse Bauzone auf das in Art. 15 RPG vorgesehene Mass zu beschränken, sind regelmässig zahlreiche, zum Teil auch kleinere Gebiete umfassende Planungsmassnahmen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