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113 vom 1. Januar 1990</w:t>
      </w:r>
    </w:p>
    <w:p>
      <w:r>
        <w:t>Bundesgericht (BGE), 1990-01-01, FR</w:t>
      </w:r>
    </w:p>
    <w:p>
      <w:r>
        <w:rPr>
          <w:b/>
        </w:rPr>
        <w:t xml:space="preserve">Quelle: </w:t>
      </w:r>
      <w:r>
        <w:t>https://mcp.opencaselaw.ch/entscheid/bge_BGE_116_IA_113</w:t>
      </w:r>
    </w:p>
    <w:p>
      <w:r>
        <w:t>FR: BGE BGE 116 IA 113 du 1 janvier 1990</w:t>
      </w:r>
    </w:p>
    <w:p>
      <w:r>
        <w:t>IT: BGE BGE 116 IA 113 del 1 gennaio 1990</w:t>
      </w:r>
    </w:p>
    <w:p>
      <w:pPr>
        <w:pStyle w:val="Heading2"/>
      </w:pPr>
      <w:r>
        <w:t>Regeste</w:t>
      </w:r>
    </w:p>
    <w:p>
      <w:r>
        <w:t>Regeste Art. 4 BV: Die vom Genfer Gesetzgeber vorgenommene Einteilung von Betrieben zur Abgabe von Speisen und Getränken ist nicht willkürlich und führt für sich allein zu keiner rechtsungleichen Behandlung (E. 2). Art. 31 Abs. 2 BV: Die vom Gesetz vorgesehene Verpflichtung, Betriebe mit Alkoholausschankbewilligung zwischen 11 und 14 Uhr offenzuhalten, entspricht keinem öffentlichen Interesse, soweit diese Verpflichtung für eine Bar gilt, die über Mittag keine warmen Speisen anbietet. In Anbetracht der persönlichen Situation der Beschwerdeführer ist diese Verpflichtung auch unverhältnismässig (E. 3).</w:t>
      </w:r>
    </w:p>
    <w:p>
      <w:r>
        <w:t>Regeste Art. 4 Cst.: La classification des établissements voués à la restauration et aux débits de boissons, adoptée par le législateur genevois, n'est pas arbitraire et ne constitue pas, à elle seule, une inégalité de traitement (consid. 2). Art. 31 al. 2 Cst.: L'ouverture entre 11 et 14 heures, imposée par la loi aux établissements qui bénéficient d'une licence d'alcool, ne répond pas à un intérêt public lorsqu'elle s'applique à des bars ne servant pas de repas chauds à midi. Compte tenu de la situation personnelle des recourants, cette obligation institue aussi une exigence disproportionnée (consid. 3).</w:t>
      </w:r>
    </w:p>
    <w:p>
      <w:r>
        <w:t>Regesto Art. 4 Cost.: La classificazione degli esercizi pubblici che servono cibi e bevande, adottata dal legislatore ginevrino, non è arbitraria e non comporta, di per sé, una disparità di trattamento (consid. 2). Art. 31 cpv. 2 Cost.: L'apertura tra le ore 11 e 14, imposta dalla legge agli esercizi autorizzati a servire bevande alcoliche, non corrisponde a un interesse pubblico ove sia applicabile a bar in cui non sono serviti pasti caldi a mezzogiorno. Tenuto conto della situazione personale dei ricorrenti, tale obbligo costituisce anche un requisito sproporzionato (consid. 3).</w:t>
      </w:r>
    </w:p>
    <w:p>
      <w:pPr>
        <w:pStyle w:val="Heading2"/>
      </w:pPr>
      <w:r>
        <w:t>Erwägungen</w:t>
      </w:r>
    </w:p>
    <w:p>
      <w:r>
        <w:rPr>
          <w:b/>
        </w:rPr>
        <w:t>E. 2</w:t>
      </w:r>
    </w:p>
    <w:p>
      <w:r>
        <w:t>a) Les recourants estiment tout d'abord que le rattachement des bars à la catégorie, considérée comme résiduelle, des cafés-restaurants, violerait le principe de l'égalité de traitement et constituerait un acte arbitraire, dans la mesure où il s'agit de deux sortes d'établissements nettement distincts, pour lesquels la loi aurait dû prévoir une réglementation différente. b) L'art. 16 LRDBH classe les établissements voués à la restauration et au débit de boissons en 9 catégories, soit les cafés-restaurants, les cantines, les cercles, les clubs sportifs, les pensions, les dancings, les cabarets-dancings, les buvettes permanentes et les buvettes temporaires. L'art. 17 al. 1 lettre A LRDBH définit les cafés-restaurants comme "des établissements à caractère public où sont servis à toute personne des mets et des boissons, et qui n'entrent pas dans la définition d'une autre catégorie d'établissements voués à la restauration et au débit de boissons". Les définitions des différentes catégories d'établissements ne sont toutefois que générales et relativement schématiques et n'excluent nullement que les exploitants confèrent un style particulier et original à leur établissement, dans les limites de la loi (voir Mémorial des séances du Grand conseil 1985, p. 4234 et 4246; voir également Mémorial des séances du Grand Conseil 1987, p. 6424/6425). c) Selon la jurisprudence, le principe de l'égalité de traitement ne permet pas de faire, entre divers cas, des distinctions qu'aucun fait important ne justifie ou de soumettre à un régime identique BGE 116 Ia 113 S. 116 des situations de fait qui présentent entre elles des différences importantes et de nature à rendre nécessaire un traitement différent ( ATF 112 Ia 258 consid. 4a et les arrêts cités). On admet également qu'une réglementation viole l' art. 4 Cst. lorsqu'elle ne repose pas sur des motifs sérieux, n'a ni sens ni but, opère des distinctions qui ne trouvent pas de justification dans les faits à réglementer ou n'opère pas celles qui s'imposent en raison de ces faits (ATF ATF 114 Ia 323 consid. 3a, ATF 111 Ia 91 consid. 3a, ATF 110 Ia 113 consid. 2b). La réglementation relative à l'exploitation des cafés, restaurants et autres établissements du même genre est du domaine des cantons qui disposent en la matière d'un pouvoir formateur étendu ( art. 31ter et 32quater Cst. ). Le Tribunal fédéral n'examine donc que sous l'angle de l'arbitraire et avec retenue la question de la classification des établissements voués à la restauration et au débit de boissons. d) En l'espèce, il est constant que le législateur genevois entendait lutter contre la prolifération des "bars à champagne" et des abus relevés dans cette catégorie d'établissements. Il a ainsi écarté volontairement la possibilité de créer une catégorie spéciale pour les bars, tout en reconnaissant un caractère général à la catégorie des cafés-restaurants, qui permettait certains aménagements en fonction du style particulier des différents établissements. Dans ces circonstances, même si la façon dont le législateur a réparti les établissements voués à la restauration et au débit de boissons peut paraître surprenante à certains égards, la réglementation des art. 16 et 17 LRDBH n'a pas été adoptée sans motifs et n'est, comme telle, pas insoutenable. L'absence de distinction entre les cafés-restaurants et les bars n'est donc pas, à elle seule, constitutive d'une inégalité de traitement ou d'un acte arbitraire. Le recours doit dès lors être rejeté en tant qu'il porte sur l'inconstitutionnalité des art. 16 et 17 LRDBH.</w:t>
      </w:r>
    </w:p>
    <w:p>
      <w:r>
        <w:rPr>
          <w:b/>
        </w:rPr>
        <w:t>E. 3</w:t>
      </w:r>
    </w:p>
    <w:p>
      <w:r>
        <w:t>Le Conseil d'Etat est habilité à fixer le temps d'exploitation minimal pour les établissements au bénéfice d'une demi-licence." c) S'agissant de l'intérêt public, le Département de justice et police relève que les heures d'ouverture prévues à l'art. 50 al. 2 LRDBH tiennent compte des moments où traditionnellement la demande en boissons alcoolisées est la plus forte, soit aux heures des repas. La non-ouverture d'un établissement bénéficiant d'une licence d'alcool aux heures indiquées fausserait l'appréciation qu'il est appelé à faire de la notion du besoin contenue à l'art. 39 al. 1 LRDBH, en ce sens qu'il serait paradoxal qu'une licence accordée sur la base de la clause de besoin ne soit pas effectivement utilisée, puisque le besoin qu'elle est censée couvrir ne le serait ainsi pas dans les faits. Cette argumentation n'est pas pertinente, dans la mesure où elle ne tient pas compte de la nature de l'établissement des recourants qui ne servent aucun repas à midi. En réalité, l'obligation d'ouverture des bars ne servant pas de repas entre 11 et 14 heures entraîne une consommation accrue d'alcool qui va directement à l'encontre des autres mesures prises par le législateur en vue de lutter contre l'alcoolisme (voir, au sujet des buts poursuivis par la loi, l'art. 2 al. 1 lettre b LRDBH). On ne voit donc pas en quoi cette obligation, faite aux recourants d'ouvrir leur bar en dehors des heures de fréquentation ordinaire, peut correspondre à un intérêt public quelconque. Si une réglementation linéaire paraît justifiée, et même souhaitable, pour les cafés-restaurants, elle est manifestement trop rigide pour des bars qui ne servent pas de repas à midi. Du moment que la clientèle des bars est essentiellement nocturne, une telle réglementation revient pratiquement à nier le caractère spécifique des bars ou à imposer leur transformation en cafés-restaurants susceptibles de servir des repas à midi. A ce titre, l'intérêt privé des exploitants l'emporte manifestement sur l'intérêt public à l'ouverture des bars entre 11 et 14 heures, et cela même BGE 116 Ia 113 S. 118 en faisant abstraction des raisons personnelles invoquées par les recourants. d) L'obligation imposée par l'art. 50 al. 2 de la loi genevoise apparaît également disproportionnée, dès lors qu'elle ne prévoit aucune dérogation pour tenir compte des cas particuliers qui peuvent se présenter. En l'espèce, les autorités cantonales se sont donc contentées d'appliquer le texte clair de la loi, sans examiner les raisons, pourtant pertinentes, invoquées par les recourants pour bénéficier d'une dérogation. Or, la rigidité des heures d'ouverture de l'art. 50 al. 2 LRDBH leur imposerait des heures de travail excessives par rapport à leur situation personnelle ou les obligerait à engager des employés supplémentaires, ce qui serait incompatible avec le caractère familial de leur entreprise ou le chiffre d'affaires qu'ils sont susceptibles de réaliser entre 11 et 14 heures. De telles exigences dépassent donc largement le but de police visé; les recourants font d'ailleurs valoir à juste titre que leur établissement n'a jamais troublé l'ordre public, contrairement aux abus qui ont pu être constatés dans certains bars. e) Il en résulte que la réglementation prévue par l'art. 50 al. 2 LRDBH viole l' art. 31 Cst. dans la mesure où elle ne répond pas à un intérêt public suffisant et institue une exigence disproportionnée. Le recours doit dès lors être admis sur ce point et la décision attaquée annulée, en tant qu'elle impose aux recourants l'obligation d'ouvrir leur établissement entre 11 et 14 heures.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