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102 vom 1. Januar 1990</w:t>
      </w:r>
    </w:p>
    <w:p>
      <w:r>
        <w:t>Bundesgericht (BGE), 1990-01-01, DE</w:t>
      </w:r>
    </w:p>
    <w:p>
      <w:r>
        <w:rPr>
          <w:b/>
        </w:rPr>
        <w:t xml:space="preserve">Quelle: </w:t>
      </w:r>
      <w:r>
        <w:t>https://mcp.opencaselaw.ch/entscheid/bge_BGE_116_IA_102</w:t>
      </w:r>
    </w:p>
    <w:p>
      <w:r>
        <w:t>FR: BGE BGE 116 IA 102 du 1 janvier 1990</w:t>
      </w:r>
    </w:p>
    <w:p>
      <w:r>
        <w:t>IT: BGE BGE 116 IA 102 del 1 gennaio 1990</w:t>
      </w:r>
    </w:p>
    <w:p>
      <w:pPr>
        <w:pStyle w:val="Heading2"/>
      </w:pPr>
      <w:r>
        <w:t>Regeste</w:t>
      </w:r>
    </w:p>
    <w:p>
      <w:r>
        <w:t>Regeste Art. 4 BV; Anspruch auf Bestellung eines unentgeltlichen Rechtsbeistands. 1. Die zürcherische Praxis, nach der dem Gesuchsteller mit Bezug auf die Person des Verteidigers grundsätzlich nur ein einmaliges Vorschlagsrecht zu Beginn der Strafuntersuchung zukommt, ist nicht willkürlich (E. 4a). 2. Diese zürcherische Praxis verletzt im zu beurteilenden Anwendungsfall auch nicht den aus Art. 4 BV fliessenden verfassungsrechtlichen Minimalanspruch auf unentgeltliche Verteidigung (E. 4b).</w:t>
      </w:r>
    </w:p>
    <w:p>
      <w:r>
        <w:t>Regeste Art. 4 Cst.; droit à l'attribution d'un défenseur gratuit. 1. Il n'est pas arbitraire de ne donner au requérant que le droit de proposer en principe une seule fois un défenseur, au début de l'enquête pénale, conformément à la pratique zurichoise (consid. 4a). 2. En l'espèce, cette pratique ne viole pas non plus le droit minimum d'être défendu gratuitement qui est conféré par l'art. 4 Cst. (consid. 4b).</w:t>
      </w:r>
    </w:p>
    <w:p>
      <w:r>
        <w:t>Regesto Art. 4 Cost.; diritto all'attribuzione di un patrocinatore gratuito. 1. Non è arbitraria la prassi zurighese, secondo cui è, in linea di principio, accordato una sola volta al richiedente il diritto di proporre un difensore, all'inizio dell'inchiesta penale (consid. 4a). 2. Tale prassi non viola neppure il diritto costituzionale minimo, sgorgante dall'art. 4 Cost., di essere difeso gratuitamente (consid. 4b).</w:t>
      </w:r>
    </w:p>
    <w:p>
      <w:pPr>
        <w:pStyle w:val="Heading2"/>
      </w:pPr>
      <w:r>
        <w:t>Erwägungen</w:t>
      </w:r>
    </w:p>
    <w:p>
      <w:r>
        <w:rPr>
          <w:b/>
        </w:rPr>
        <w:t>E. 4</w:t>
      </w:r>
    </w:p>
    <w:p>
      <w:r>
        <w:t>Der Beschwerdeführer bringt weiter vor, die angefochtenen Entscheide verletzten seinen Anspruch auf unentgeltliche Verteidigung im Sinne von Art. 4 BV . a) Der Anspruch einer unbemittelten Partei, einen unentgeltlichen Rechtsbeistand zu erhalten, bestimmt sich zunächst nach den Vorschriften des kantonalen Rechts. Nur wenn dieses keine oder ungenügende Vorschriften enthält, greifen die unmittelbar aus Art. 4 BV hergeleiteten Regeln ein, die ein Mindestmass an Rechtsschutz und damit an Verteidigungsmöglichkeiten gewährleisten ( BGE 114 Ia 101 f. E. 2 mit Hinweisen). § 13 Abs. 2 letzter Satz StPO verlangt, ein Vorschlag des Gesuchstellers mit Bezug auf die Person des amtlichen Verteidigers sei nach Möglichkeit zu berücksichtigen. Die zürcherische Praxis geht dahin, dass ein solcher Anspruch nur einmal zu Beginn einer Strafuntersuchung besteht. Einen solchen Anspruch hatte bei Beginn der ersten Untersuchung auch der Beschwerdeführer. Die Auslegung und Anwendung des kantonalen Rechtes, d.h. von § 13 Abs. 2 letzter Satz StPO, prüft das Bundesgericht gestützt auf Art. 4 BV grundsätzlich nur unter dem beschränkten Gesichtswinkel der Willkür, d.h. es kann nur eingreifen, wenn die Auslegung nicht nur unrichtig, sondern schlechthin unhaltbar ist ( BGE 114 Ia 27 E. 3b, BGE 113 Ia 19 E. 3a). Das Bundesgericht hat bereits am 10. Oktober 1988 entschieden, dass die einmalige Möglichkeit eines Vorschlagsrechts im Hinblick auf die Person des amtlichen Verteidigers vor dem Willkürverbot standhält (unveröffentlichtes Urteil des Bundesgerichts vom 10. Oktober 1988 i.S. P. E. 4). Der Beschwerdeführer bringt nichts vor, was ein Abweichen von dieser Praxis rechtfertigen würde. Es ist demnach an ihr festzuhalten. Eine Verletzung des Willkürverbots liegt nicht vor. b) Es bleibt zu prüfen, ob eine Verletzung der bundesrechtlichen Minimalgarantie von Art. 4 BV vorliegt. BGE 116 Ia 102 S. 105 aa) Nach der bundesgerichtlichen Rechtsprechung ist ein Begehren um Wechsel des amtlichen Verteidigers nur und immer dann zu bewilligen, wenn aus objektiven Gründen eine sachgemässe Vertretung der Interessen des Angeschuldigten durch den amtlichen Verteidiger nicht mehr gewährleistet ist ( BGE 105 Ia 302 f; unveröffentlichtes Urteil des Bundesgerichts vom 11. Mai 1989 i.S. K. E. 4a mit Hinweisen). bb) Der Beschwerdeführer bringt vor, es bestehe kein Vertrauen mehr in den ursprünglichen amtlichen Verteidiger. In den beiden Beschwerdeschriften wird indessen nichts Substantiiertes vorgebracht, weshalb dieser seine Aufgabe nicht korrekt erfüllt haben sollte bzw. weshalb das Vertrauensverhältnis aus objektiven Gründen gestört sei. Es wird lediglich auf einige Schreiben des Beschwerdeführers an Rechtsanwältin Y. hingewiesen, worin dieser betont, er möchte nur diese als Verteidigerin bzw. es sei "ein einfaches, mir so einen Rechtsanwalt zu geben, der nur dem Staatsanwalt beipflichtet". Der Beschwerdeführer übersieht, dass dieses Vorbringen allein keinen Grund für einen berechtigten Wechsel des amtlichen Verteidigers bildet. Der Beschwerdeführer verkennt auch, dass die Art und Weise der Verteidigung der amtliche Verteidiger bestimmt und dass dieser nicht bloss das unkritische Sprachrohr seines Mandanten ist (vgl. dazu auch Robert Hauser, Kurzlehrbuch des schweizerischen Strafprozessrechts, 2. Auflage, Basel 1984, S. 97). Im vorliegenden Fall sind die Verhältnisse keineswegs derart, dass nicht weiterhin eine effektive Verteidigung durch den ursprünglichen amtlichen Verteidiger möglich wäre. Im Gegenteil, es geht aus den Akten eindeutig hervor, dass Rechtsanwalt X. seine Pflichten ordnungsgemäss erfüllt hat, namentlich den Beschwerdeführer relativ häufig in der Untersuchungshaft besuchte. c) Mit Bezug auf das zweite Strafverfahren bringt der Beschwerdeführer zusätzlich vor, dieses sei vom ersten grundsätzlich unabhängig, so dass die Argumentation, weshalb einem Wechsel des amtlichen Verteidigers nicht zugestimmt werden könne, nicht ohne weiteres einfach auf das neue Verfahren übertragen werden könne. Dieses Vorbringen des Beschwerdeführers ist widersprüchlich, pflichtet er doch auf der selben Seite seiner Beschwerdeschrift der Argumentation ausdrücklich bei, es sei sinnvoll und zweckmässig, wenn er in beiden gegen ihn anhängigen Verfahren durch den selben Anwalt vertreten werde. Dies trifft denn auch um so mehr zu, als für den Fall, dass das erste Verfahren vorzeitig rechtskräftig BGE 116 Ia 102 S. 106 beendet sein sollte, für die mit der zweiten Untersuchung verfolgten Taten eine Zusatzstrafe auszufällen wäre. Derartige widersprüchliche Vorbringen, wie sie vom Beschwerdeführer in diesem Zusammenhang erhoben werden, sind offensichtlich rechtsmissbräulich und verdienen keinen Rechtsschutz. Es wäre, im Gegensatz zu den Schlussfolgerungen des Beschwerdeführers, geradezu willkürlich, ihm für das zweite Verfahren einen andern amtlichen Verteidiger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