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275</w:t>
      </w:r>
    </w:p>
    <w:p>
      <w:r>
        <w:t>Bundesgericht (BGE), 1989-01-01, DE</w:t>
      </w:r>
    </w:p>
    <w:p>
      <w:r>
        <w:rPr>
          <w:b/>
        </w:rPr>
        <w:t xml:space="preserve">Quelle: </w:t>
      </w:r>
      <w:r>
        <w:t>https://mcp.opencaselaw.ch/entscheid/bge_BGE_115_V_275</w:t>
      </w:r>
    </w:p>
    <w:p>
      <w:r>
        <w:t>FR: ATF 115 V 275</w:t>
      </w:r>
    </w:p>
    <w:p>
      <w:r>
        <w:t>IT: DTF 115 V 275</w:t>
      </w:r>
    </w:p>
    <w:p>
      <w:pPr>
        <w:pStyle w:val="Heading2"/>
      </w:pPr>
      <w:r>
        <w:t>Regeste</w:t>
      </w:r>
    </w:p>
    <w:p>
      <w:r>
        <w:t>Regeste Art. 20 Abs. 2 und 3 UVG, Art. 31 und 32 UVV: Berechnung der Komplementärrenten für Invalide (in casu: Bezüger einer Ehepaar-Altersrente der AHV). - Bei der Berechnung der Komplementärrenten für Invalide gemäss Art. 20 Abs. 2 UVG sind die Renten der AHV oder der IV grundsätzlich in vollem Umfang zu berücksichtigen (Erw. 3a). - Soweit die Art. 31 und 32 UVV diesen Grundsatz für Komplementärrenten an teilerwerbstätige Altersrentner, die schon vor einem UVG-versicherten und zu einer Invalidität führenden Unfall Bezüger einer Ehepaar-Rente der AHV waren, gestützt auf die Delegationsnorm des Art. 20 Abs. 3 UVG uneingeschränkt und ohne abweichende Regelung übernehmen, erweisen sie sich als gesetz- und verfassungsmässig; Bemerkungen de lege ferenda (Erw. 3b). Art. 40 UVG und Art. 74 Abs. 3 KUVG, Art. 51 Abs. 4 UVV: Überversicherungsregeln. - Die allgemeine Überversicherungsregel des Art. 40 UVG und die entsprechenden gemäss altrechtlicher Rechtsprechung (insbesondere zu Art. 74 Abs. 3 KUVG) entwickelten Grundsätze sind nicht anwendbar, wenn eine andere Koordinationsregel des Gesetzes - wie sie namentlich in Art. 20 Abs. 2 bzw. 31 Abs. 4 UVG enthalten ist - eingreift; insoweit findet auch die Ausführungsbestimmung von Art. 51 Abs. 4 UVV (sog. Härtefallklausel) keine Anwendung (Erw. 1c und 3c). - Frage offengelassen, ob der in Art. 74 Abs. 3 KUVG enthaltene Grundsatz einer Identität des Schadenereignisses auch unter dem Gesichtspunkt des Art. 40 UVG weiterhin gilt (Erw. 3a in fine).</w:t>
      </w:r>
    </w:p>
    <w:p>
      <w:r>
        <w:t>Regeste Art. 20 al. 2 et 3 LAA, art. 31 et 32 OLAA: Calcul des rentes complémentaires d'invalidité (in casu: bénéficiaire d'une rente de vieillesse pour couple de l'AVS). - En principe, les rentes de l'AVS et de l'AI doivent être prises en compte entièrement dans le calcul des rentes complémentaires d'invalidité selon l'art. 20 al. 2 LAA (consid. 3a). - Les art. 31 et 32 OLAA, pris sur délégation de l'art. 20 al. 3 LAA, sont conformes à la loi et à la Constitution, dans la mesure où ils expriment ce principe de manière absolue, sans prévoir une réglementation différente pour les rentes complémentaires allouées à des rentiers de l'AVS exerçant une activité lucrative à temps partiel et bénéficiant déjà d'une rente pour couple avant de devenir invalides à la suite d'un accident assuré selon la LAA; remarques de lege ferenda (consid. 3b). Art. 40 LAA et art. 74 al. 3 LAMA, art. 51 al. 4 OLAA: Règles sur la surindemnisation. - La règle générale sur la surindemnisation posée par l'art. 40 LAA et les principes développés par la jurisprudence relative à l'ancien droit (en particulier l'art. 74 al. 3 LAMA) ne sont pas applicables en présence d'une autre norme légale de coordination (notamment celles figurant aux art. 20 al. 2 et 31 al. 4 LAA): ne s'appliquent pas non plus, dans ce cas, les dispositions d'exécution prises à l'art. 51 al. 4 OLAA (cas pénible) (consid. 1c et 3c). - Le principe de l'identité de l'événement dommageable, formulé à l'art. 74 al. 3 LAMA, est-il encore valable sous l'angle de l'art. 40 LAA? Question laissée indécise (consid. 3a in fine).</w:t>
      </w:r>
    </w:p>
    <w:p>
      <w:r>
        <w:t>Regesto Art. 20 cpv. 2 e 3 LAINF, art. 31 e 32 OAINF: Calcolo delle rendite complementari di invalidità (in casu: beneficiario di una rendita di vecchiaia per coniugi). - Di principio le rendite dell'AVS e dell'AI sono interamente da ritenere nel calcolo delle rendite complementari d'invalidità secondo l'art. 20 cpv. 2 LAINF (consid. 3a). - Gli art. 31 e 32 OAINF, resi in virtù della delega di cui all'art. 20 cpv. 3 LAINF, sono conformi a legge e Costituzione nella misura in cui riprendono lo stesso principio in maniera assoluta, senza prevedere una regola diversa per le rendite complementari erogate a persone esercitanti un'attività lucrativa a tempo parziale dopo l'età pensionabile e già al beneficio di una rendita per coniugi prima di diventare invalidi a seguito di un infortunio assicurato secondo la LAINF; note de lege ferenda (consid. 3b). Art. 40 LAINF e art. 74 cpv. 3 LAMI, art. 51 cpv. 4 OAINF: Regole sul sovraindennizzo. - La regola generale sul sovraindennizzo stabilita dall'art. 40 LAINF e i principi sviluppati secondo la giurisprudenza relativa al vecchio diritto (in particolare circa l'art. 74 cpv. 3 LAMI) non sono applicabili presente un'altra norma legale di coordinamento (in particolare quella di cui all'art. 20 cpv. 2 e 31 cpv. 4 LAINF); né si applicano, in questo caso, le disposizioni d'esecuzione prese all'art. 51 cpv. 4 OAINF (caso di rigore) (consid. 1c e 3c). - Indeciso il tema se il principio dell'identità dell'evento dannoso di cui all'art. 74 cpv. 3 LAMI sia ancora valido alla luce dell'art. 40 LAINF (consid. 3a in fine).</w:t>
      </w:r>
    </w:p>
    <w:p>
      <w:pPr>
        <w:pStyle w:val="Heading2"/>
      </w:pPr>
      <w:r>
        <w:t>Erwägungen</w:t>
      </w:r>
    </w:p>
    <w:p>
      <w:r>
        <w:rPr>
          <w:b/>
        </w:rPr>
        <w:t>E. 1</w:t>
      </w:r>
    </w:p>
    <w:p>
      <w:r>
        <w:t>a) Nach Art. 18 Abs. 1 UVG hat der Versicherte Anspruch auf eine Invalidenrente, wenn er infolge des Unfalls invalid wird. Hat er auch Anspruch auf eine Rente der IV oder der AHV, so wird ihm gemäss Art. 20 Abs. 2 UVG eine Komplementärrente gewährt; diese entspricht "der Differenz zwischen 90 Prozent des versicherten Verdienstes und der Rente der IV oder der AHV", höchstens aber dem für Voll- oder Teilinvalidität vorgesehenen Betrag. Nach Abs. 3 desselben Artikels erlässt der Bundesrat nähere Vorschriften, namentlich über die Berechnung der Komplementärrenten in Sonderfällen. Von dieser Rechtssetzungskompetenz hat der Bundesrat Gebrauch gemacht und in den Art. 31 ff. UVV verschiedene Bestimmungen über die Komplementärrenten für Invalide erlassen. In diesem Sinne hat er u.a. in Art. 31 UVV die "Berechnung der Komplementärrenten im allgemeinen" sowie in Art. 32 UVV die "Höhe der Komplementärrenten in Sonderfällen" wie folgt geregelt: Art. 31: "Bei der Berechnung der Komplementärrenten für Invalide werden auch die Zusatz- und Kinderrenten der AHV/IV voll berücksichtigt. Wird als Folge eines Unfalles eine Ehepaarrente der AHV/IV ausgerichtet, so wird diese vorbehältlich Artikel 32 Absätze 1 und 2 dem verunfallten Ehegatten zu zwei Dritteln angerechnet." Art. 32: "1 Vor dem Unfall gewährte IV-Renten werden bei der Berechnung der Komplementärrenten nur so weit berücksichtigt, als sie wegen des Unfalles erhöht werden. In den Fällen von Artikel 24 Absatz 4 wird die IV-Rente voll angerechnet.</w:t>
      </w:r>
    </w:p>
    <w:p>
      <w:r>
        <w:rPr>
          <w:b/>
        </w:rPr>
        <w:t>E. 2</w:t>
      </w:r>
    </w:p>
    <w:p>
      <w:r>
        <w:t>Hat ein Ehegatte aus einem Unfall bereits Anspruch auf eine Rente und wurde bei deren Berechnung eine AHV/IV-Rente schon berücksichtigt, so wird dem anderen Ehegatten, der durch Unfall invalid wird, die Ehepaarrente nur zu einem Drittel angerechnet.</w:t>
      </w:r>
    </w:p>
    <w:p>
      <w:r>
        <w:rPr>
          <w:b/>
        </w:rPr>
        <w:t>E. 3</w:t>
      </w:r>
    </w:p>
    <w:p>
      <w:r>
        <w:t>Wird eine Witwe, die eine AHV-Rente bezieht, wegen eines Unfalles invalid, so wird ihr die AHV-Rente nur zu zwei Dritteln angerechnet.</w:t>
      </w:r>
    </w:p>
    <w:p>
      <w:r>
        <w:rPr>
          <w:b/>
        </w:rPr>
        <w:t>E. 4</w:t>
      </w:r>
    </w:p>
    <w:p>
      <w:r>
        <w:t>Hat der Rentenberechtigte vor Eintritt der Invalidität neben der unselbständigen noch eine selbständige Erwerbstätigkeit ausgeübt, so wird für die Festsetzung der Grenze von 90 Prozent nach Artikel 20 Absatz 2 des Gesetzes neben dem versicherten Verdienst auch das BGE 115 V 275 S. 279 Einkommen aus selbständiger Erwerbstätigkeit bis zum Höchstbetrag des versicherten Verdienstes berücksichtigt.</w:t>
      </w:r>
    </w:p>
    <w:p>
      <w:r>
        <w:rPr>
          <w:b/>
        </w:rPr>
        <w:t>E. 5</w:t>
      </w:r>
    </w:p>
    <w:p>
      <w:r>
        <w:t>(Parteientschädigung) BGE 115 V 275 S. 285 Dispositiv Demnach erkennt das Eidg. Versicherungsgericht: In Gutheissung der Verwaltungsgerichtsbeschwerde wird der Entscheid des Versicherungsgerichts des Kantons Bern vom 20. Oktober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