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358 vom 1. Januar 1989</w:t>
      </w:r>
    </w:p>
    <w:p>
      <w:r>
        <w:t>Bundesgericht (BGE), 1989-01-01, DE</w:t>
      </w:r>
    </w:p>
    <w:p>
      <w:r>
        <w:rPr>
          <w:b/>
        </w:rPr>
        <w:t xml:space="preserve">Quelle: </w:t>
      </w:r>
      <w:r>
        <w:t>https://mcp.opencaselaw.ch/entscheid/bge_BGE_115_Ib_358</w:t>
      </w:r>
    </w:p>
    <w:p>
      <w:r>
        <w:t>FR: BGE BGE 115 Ib 358 du 1 janvier 1989</w:t>
      </w:r>
    </w:p>
    <w:p>
      <w:r>
        <w:t>IT: BGE BGE 115 Ib 358 del 1 gennaio 1989</w:t>
      </w:r>
    </w:p>
    <w:p>
      <w:pPr>
        <w:pStyle w:val="Heading2"/>
      </w:pPr>
      <w:r>
        <w:t>Regeste</w:t>
      </w:r>
    </w:p>
    <w:p>
      <w:r>
        <w:t>Regeste Verordnung über Preiszuschläge auf Futtermitteln (Preiszuschlagsverordnung; SR 916.112.231); BG über das Verwaltungsstrafrecht (VStrR; SR 313.0): Nachentrichtung von zu Unrecht nicht erhobenen Abgaben (Preiszuschläge auf Futtermitteln); Verjährung. 1. Preiszuschläge auf Futtermitteln sind Abgaben im Sinne von Art. 12 Abs. 1 lit. a VStrR. Für deren Nachentrichtung und für die Verjährung ist deshalb von Art. 12 in Verbindung mit Art. 11 VStrR auszugehen (E. 3). 2. Sind Strafverfolgung und Strafvollstreckung bezüglich der Widerhandlung gegen die Verwaltungsgesetzgebung des Bundes (hier: gegen das Zollgesetz) nicht verjährt, so ist es kraft Gesetzesvorschrift (Art. 12 Abs. 4 VStrR) auch die Leistungspflicht nicht (E. 4).</w:t>
      </w:r>
    </w:p>
    <w:p>
      <w:r>
        <w:t>Regeste Ordonnance concernant les suppléments de prix sur les denrées fourragères; RS 916.112.231; loi fédérale sur le droit pénal administratif (DPA; RS 313.0): perception après coup d'une contribution non perçue à tort (suppléments de prix sur les denrées fourragères); prescription. 1. Les suppléments de prix pour les denrées fourragères sont des contributions au sens de l'art. 12 al. 1 let. a DPA. C'est pourquoi, pour la perception après coup et la prescription, il y a lieu de se référer à l'art. 12, en relation avec l'art. 11 DPA (consid. 3). 2. Si l'action pénale et l'exécution de la peine concernant l'infraction à la législation administrative fédérale (ici: la loi sur les douanes) ne sont pas prescrites, l'obligation de verser la prestation ne l'est pas non plus, et cela sur la base d'une disposition légale spécifique (art. 12 al. 4 LPA) (consid. 4).</w:t>
      </w:r>
    </w:p>
    <w:p>
      <w:r>
        <w:t>Regesto Ordinanza concernente i soprapprezzi sui foraggi, RS 916.112.231; legge federale sul diritto penale amministrativo (DPA; RS 313.0): pagamento di una tassa a torto non riscossa (soprapprezzo sui foraggi); prescrizione. 1. I soprapprezzi sui foraggi sono tasse ai sensi dell'art. 12 cpv. 1 lett. a DPA. Per il loro pagamento posticipato e per la prescrizione è quindi applicabile l'art. 12 in relazione con l'art. 11 DPA (consid. 3). 2. Se l'azione penale e l'esecuzione della pena concernenti l'infrazione alla legislazione amministrativa della Confederazione (nella fattispecie: alla legge sulle dogane) non sono prescritte, non è neppure prescritto l'obbligo di pagare la prestazione, e ciò in base ad una specifica disposizione di legge (art. 12 cpv. 4 DPA) (consid. 4).</w:t>
      </w:r>
    </w:p>
    <w:p>
      <w:pPr>
        <w:pStyle w:val="Heading2"/>
      </w:pPr>
      <w:r>
        <w:t>Erwägungen</w:t>
      </w:r>
    </w:p>
    <w:p>
      <w:r>
        <w:rPr>
          <w:b/>
        </w:rPr>
        <w:t>E. 2</w:t>
      </w:r>
    </w:p>
    <w:p>
      <w:r>
        <w:t>Vor Bundesgericht ist unbestritten, dass der Beschwerdeführer zu Unrecht Futtermittel zoll- und abgabenfrei eingeführt hat und deshalb - ebenfalls zu Unrecht - die aufgrund von Art. 1 und 2 der Preiszuschlagsverordnung geschuldeten Preiszuschläge nicht erhoben worden sind. Fest steht auch, dass der Beschwerdeführer dadurch die Tatbestände einer Zollübertretung und eines Bannbruchs erfüllt hat und durch Strafbescheid vom 23. August 1985 im ordentlichen Verfahren nach Art. 64 des BG über das Verwaltungsstrafrecht (VStrR; 313.0) in Anwendung der einschlägigen Vorschriften des Zollgesetzes vom 1. Oktober 1925 (ZG; SR 631.0) gebüsst worden ist. Umstritten ist die Frage, ob die nachträgliche Forderung der Genossenschaft für Getreide und Futtermittel zu Recht bestehe, oder ob sie zufolge Ablaufs einer absoluten Verjährungsfrist untergegangen sei. Streitig ist weiter, welche Verjährungsbestimmung vorliegend anwendbar sei. Zum Entscheid darüber ist von Bedeutung, auf welche Rechtsgrundlage sich der nachträgliche Leistungsanspruch der Genossenschaft stützt.</w:t>
      </w:r>
    </w:p>
    <w:p>
      <w:r>
        <w:rPr>
          <w:b/>
        </w:rPr>
        <w:t>E. 3</w:t>
      </w:r>
    </w:p>
    <w:p>
      <w:r>
        <w:t>Nach Art. 12 Abs. 1 (lit. a) VStrR ist eine Abgabe, die infolge einer Widerhandlung gegen die Verwaltungsgesetzgebung des Bundes zu Unrecht nicht erhoben wurde, ohne Rücksicht auf die Strafbarkeit einer bestimmten Person, nachzuentrichten. a) Im vorliegenden Fall hat der Beschwerdeführer durch die zoll- und abgabenfreie Einfuhr von Futtermitteln objektiv eine Widerhandlung gegen mehrere Bestimmungen des Zollgesetzes begangen und damit die eine Voraussetzung von Art. 12 Abs. 1 lit. a VStrR erfüllt (vgl. BGE 110 Ib 309 E. 2a, mit Hinweis). BGE 115 Ib 358 S. 361 b) Weiter setzt Art. 12 Abs. 1 lit. a VStrR eine zu Unrecht nicht erhobene Abgabe voraus. Es ist deshalb zu prüfen, ob die (nicht erhobenen) Preiszuschläge auf die importierten Futtermittel Abgaben im Sinne dieser Bestimmung darstellen. Die Preiszuschläge belasten konkurrierende Importgüter zusätzlich zum Zoll; es handelt sich um öffentlichrechtliche, auf der rein formellen Zentralisierung der Einfuhr beruhende Beiträge (O.K. KAUFMANN, SJK Nr. 553). Die Entstehungsgeschichte der Preiszuschlagsverordnung legt den engen sachlichen Zusammenhang der Preiszuschläge mit den Zollzuschlägen auf ausländischen Kraftfuttermitteln und damit den Abgabecharakter dieser Preiszuschläge deutlich offen (vgl. BBl 1933 I 358 ff.). Damit steht fest, dass es sich vorliegend um eine Forderung gemäss Art. 12 Abs. 1 lit. a und Abs. 2 VStrR handelt. Der Abgabecharakter der Preiszuschläge schliesst gleichzeitig die Anwendung der auf agrarrechtliche Beiträge zugeschnittenen Bestimmung von Art. 105 LwG über die Rückerstattung und Verjährung aus. Im Gegensatz zu den Vorinstanzen ist deshalb für die Nachentrichtung und für die Verjährung der fraglichen Preiszuschläge von Art. 12 in Verbindung mit Art. 11 VStrR auszugehen.</w:t>
      </w:r>
    </w:p>
    <w:p>
      <w:r>
        <w:rPr>
          <w:b/>
        </w:rPr>
        <w:t>E. 4</w:t>
      </w:r>
    </w:p>
    <w:p>
      <w:r>
        <w:t>Nach Art. 12 Abs. 4 VStrR verjähren Leistungs- und Rückleistungspflicht nicht, solange die Strafverfolgung und Strafvollstreckung nicht verjährt sind. Es braucht somit lediglich untersucht zu werden, ob die Strafverfolgung und die Strafvollstreckung bezüglich der Widerhandlungen gegen das Zollgesetz verjährt sind. Trifft dies nicht zu, ist kraft Gesetzesvorschrift auch die Leistungspflicht nicht verjährt. Art. 87 ZG verweist für die Strafverfolgung auf das Verwaltungsstrafrecht; damit richtet sich die Verjährung nach Art. 11 VStrR : Eine Übertretung verjährt in zwei Jahren (Abs. 1). Besteht sie jedoch in einer Hinterziehung oder Gefährdung von Abgaben oder im unrechtmässigen Erlangen einer Rückerstattung, Ermässigung oder eines Erlasses von Abgaben, so beträgt die Verjährungsfrist fünf Jahre (Abs. 2). Die Strafe einer Übertretung verjährt in fünf Jahren (Abs. 4). Die letzte Einfuhr durch den Beschwerdeführer erfolgte am 2. November 1980. Das Zollstrafverfahren gegen den Beschwerdeführer wurde am 16. Mai 1983 (Datum des untersuchungsdienstlichen Einvernahmeprotokolls), also innerhalb der fünfjährigen Strafverfolgungsfrist eingeleitet. Als abgeschlossen gelten kann das Zollstrafverfahren mit dem rechtskräftigen Verzicht vom BGE 115 Ib 358 S. 362 16. September 1985 des Beschwerdeführers auf eine Einsprache gegen den Strafbescheid, spätestens aber mit der Erledigungsmitteilung der Zollkreisdirektion II vom 8. Januar 1986. Mit Datum der Verzichtserklärung oder spätestens der Zollmitteilung begann die fünfjährige Vollstreckungsfrist gemäss Art. 11 Abs. 4 VStrR zu laufen. Die erste Einforderungshandlung der Genossenschaft für Getreide und Futtermittel datiert unbestrittenermassen vom 7. März 1986, also innerhalb der laufenden Verjährungsfrist für die Strafvollstreckung. Seither ist die Verjährung nicht eingetreten. Unter diesen Umständen braucht über die Modalitäten der Verjährung der fraglichen Forderung (Beginn, Unterbrechung, relative und absolute Dauer, Ablauf) für den Fall, dass kein Strafverfahren durchgeführt worden wäre, nicht entschieden zu werden. (Vgl. BGE 110 Ib 311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