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64 vom 1. Januar 1989</w:t>
      </w:r>
    </w:p>
    <w:p>
      <w:r>
        <w:t>Bundesgericht (BGE), 1989-01-01, DE</w:t>
      </w:r>
    </w:p>
    <w:p>
      <w:r>
        <w:rPr>
          <w:b/>
        </w:rPr>
        <w:t xml:space="preserve">Quelle: </w:t>
      </w:r>
      <w:r>
        <w:t>https://mcp.opencaselaw.ch/entscheid/bge_BGE_115_Ia_64</w:t>
      </w:r>
    </w:p>
    <w:p>
      <w:r>
        <w:t>FR: BGE BGE 115 Ia 64 du 1 janvier 1989</w:t>
      </w:r>
    </w:p>
    <w:p>
      <w:r>
        <w:t>IT: BGE BGE 115 Ia 64 del 1 gennaio 1989</w:t>
      </w:r>
    </w:p>
    <w:p>
      <w:pPr>
        <w:pStyle w:val="Heading2"/>
      </w:pPr>
      <w:r>
        <w:t>Regeste</w:t>
      </w:r>
    </w:p>
    <w:p>
      <w:r>
        <w:t>Regeste Art. 4 BV, Art. 6 Ziff. 1, 3 lit. a, e EMRK. Urteilsübersetzung. Aus Art. 4 BV und Art. 6 EMRK folgt grundsätzlich kein Anspruch des Verurteilten auf Übersetzung eines schriftlichen Urteils in seine Sprache.</w:t>
      </w:r>
    </w:p>
    <w:p>
      <w:r>
        <w:t>Regeste Art. 4 Cst., art. 6 par. 1, 3 let. a, e CEDH. Traduction d'un jugement. L'art. 4 Cst. et l'art. 6 CEDH ne confèrent en principe pas au justiciable le droit d'exiger qu'un jugement écrit soit traduit dans sa langue.</w:t>
      </w:r>
    </w:p>
    <w:p>
      <w:r>
        <w:t>Regesto Art. 4 Cost., art. 6 n. 1, 3 lett. a, e CEDU. Traduzione di una sentenza. L'art. 4 Cost. e l'art. 6 CEDU non conferiscono, in linea di principio, alla persona giudicata il diritto di esigere che una sentenza scritta sia tradotta nella sua lingua.</w:t>
      </w:r>
    </w:p>
    <w:p>
      <w:pPr>
        <w:pStyle w:val="Heading2"/>
      </w:pPr>
      <w:r>
        <w:t>Erwägungen</w:t>
      </w:r>
    </w:p>
    <w:p>
      <w:r>
        <w:rPr>
          <w:b/>
        </w:rPr>
        <w:t>E. 6</w:t>
      </w:r>
    </w:p>
    <w:p>
      <w:r>
        <w:t>a) Der Beschwerdeführer macht ferner geltend, es sei ihm eine englische Ausfertigung des erstinstanzlichen Urteils auszuhändigen. Als kanadischer Staatsangehöriger sei er der deutschen Sprache nur in sehr geringem Masse mächtig. Seine deutschen Eingaben, auch seine Beschwerdeschriften ans Bundesgericht, hätte er nur dank der freundlichen Hilfe eines Mitgefangenen verfassen können. Ohne englische Fassung des erstinstanzlichen Urteils sei ihm aber eine umfassende Verteidigung vor dem Appellationsgericht nicht möglich. b) Der Beschwerdeführer kann einen entsprechenden Antrag nicht aus Art. 4 BV ableiten. Aus dem Anspruch auf rechtliches Gehör folgt keine Pflicht der Behörde, sich im schriftlichen Verkehr mit einem Bürger, der die Amtssprache des Kantons nicht beherrscht, in dessen Sprache an ihn zu wenden. Es ist grundsätzlich seine Sache, sich amtliche Schriftstücke übersetzen zu lassen (vgl. ARTHUR HAEFLIGER, Die Sprachenfreiheit in der bundesgerichtlichen Rechtsprechung, in: Mélanges Henri Zwahlen, Lausanne 1977, S. 84). c) Sodann besteht sowohl nach Auffassung des Bundesgerichtes als auch der Strassburger Organe kein in der EMRK, insbesondere nicht in Art. 6 Ziff. 1 und Ziff. 3 lit. a und e EMRK gründender Anspruch auf Übersetzung eines schriftlichen Strafurteils in die Sprache des Verurteilten (unveröffentlichtes Urteil vom 26. Mai 1975 i.S. G. E. 2b; THEO VOGLER, Internationaler EMRK-Kommentar, N. 587 zu Art. 6 EMRK ). Es wird dem neuen Verteidiger obliegen, soweit notwendig dem Beschwerdeführer das erstinstanzliche Strafurteil zu erläutern und zu übersetzen. Sollte er dazu nicht in der Lage sein und sollte der Beschwerdeführer auch nicht über die notwendigen Mittel zum Beizug eines privaten Übersetzers verfügen, kann dieser immer noch von den kantonalen Instanzen soweit nötig auf Gerichtskosten den Beizug eines solchen verlangen (vgl. ARTHUR HAEFLIGER, a.a.O., S. 84 f.; unveröffentlichtes Urteil vom 12. Juni 1979 i.S. G.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