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127 vom 1. Januar 1989</w:t>
      </w:r>
    </w:p>
    <w:p>
      <w:r>
        <w:t>Bundesgericht (BGE), 1989-01-01, FR</w:t>
      </w:r>
    </w:p>
    <w:p>
      <w:r>
        <w:rPr>
          <w:b/>
        </w:rPr>
        <w:t xml:space="preserve">Quelle: </w:t>
      </w:r>
      <w:r>
        <w:t>https://mcp.opencaselaw.ch/entscheid/bge_BGE_115_Ia_127</w:t>
      </w:r>
    </w:p>
    <w:p>
      <w:r>
        <w:t>FR: BGE BGE 115 Ia 127 du 1 janvier 1989</w:t>
      </w:r>
    </w:p>
    <w:p>
      <w:r>
        <w:t>IT: BGE BGE 115 Ia 127 del 1 gennaio 1989</w:t>
      </w:r>
    </w:p>
    <w:p>
      <w:pPr>
        <w:pStyle w:val="Heading2"/>
      </w:pPr>
      <w:r>
        <w:t>Regeste</w:t>
      </w:r>
    </w:p>
    <w:p>
      <w:r>
        <w:t>Regeste Art. 12 BV, 178 KV-GE; Verbot der Annahme eines von einem ausländischen Staat verliehenen Ordens durch ein Mitglied des Grossen Rates. 1. Der Bund hat dem Art. 178 KV-GE insofern die Genehmigung verweigert, als dieser nicht mit Art. 12 BV übereinstimmt (E. 2a). 2. Art. 12 BV verbietet auch Orden humanitärer und kultureller Art (E. 3).</w:t>
      </w:r>
    </w:p>
    <w:p>
      <w:r>
        <w:t>Regeste Art. 12 Cst., 178 Cst. gen.; interdiction, pour les députés au Grand Conseil, d'accepter une décoration conférée par un Etat étranger. 1. La Confédération a refusé d'accorder sa garantie à l'art. 178 Cst. gen. dans la mesure où cette disposition n'est pas conforme à l'art. 12 Cst. (consid. 2a). 2. L'art. 12 Cst. interdit aussi les décorations à caractère humanitaire ou culturel (consid. 3).</w:t>
      </w:r>
    </w:p>
    <w:p>
      <w:r>
        <w:t>Regesto Art. 12 Cost., 178 Cost. GE; divieto, per i deputati del Gran Consiglio, di accettare una decorazione conferita da uno Stato estero. 1. La Confederazione ha rifiutato di accordare la propria garanzia all'art. 178 Cost. GE nella misura in cui tale disposizione non è conforme all'art. 12 Cost. (consid. 2a). 2. L'art. 12 Cost. vieta anche le decorazioni di carattere umanitario o culturale (consid. 3).</w:t>
      </w:r>
    </w:p>
    <w:p>
      <w:pPr>
        <w:pStyle w:val="Heading2"/>
      </w:pPr>
      <w:r>
        <w:t>Erwägungen</w:t>
      </w:r>
    </w:p>
    <w:p>
      <w:r>
        <w:rPr>
          <w:b/>
        </w:rPr>
        <w:t>E. 2</w:t>
      </w:r>
    </w:p>
    <w:p>
      <w:r>
        <w:t>Jacky Farine se réfère à l' art. 178 Cst. Gen., qui interdit aux députés d'accepter une décoration d'un gouvernement étranger sans l'autorisation du Grand Conseil, ainsi qu'à l'art. 22 du règlement du Grand Conseil, qui coïncide avec la disposition précitée. Il fait valoir que le parlement a appliqué ces règles de manière arbitraire en retenant qu'il n'avait aucun pouvoir d'appréciation pour décider si une médaille constitue une décoration au sens de l' art. 12 Cst. En outre, il est prétendument insoutenable d'appliquer, pour la procédure, l'art. 224 du règlement du Grand Conseil. a) L' art. 178 Cst. gen. prévoit, pour les membres du Grand Conseil et les fonctionnaires et employés de l'Etat, une interdiction des titres, décorations, traitements ou pensions de gouvernements étrangers qui correspond à celle de l' art. 12 Cst. ; cependant, la possibilité d'une autorisation est prévue. Pour les membres du Grand Conseil, l'autorisation est donnée par ce corps. Le recourant reproche au Grand Conseil de n'avoir pas fait usage du pouvoir d'appréciation qui lui est conféré et qui lui permet d'autoriser, éventuellement, l'acceptation d'une décoration. A son avis, il est faux de se référer simplement à la Constitution fédérale et à la pratique des autorités fédérales. Cette argumentation méconnaît que le droit fédéral prime le droit cantonal, et qu'une autorisation cantonale n'est par conséquent pas possible lorsque l'acceptation d'une décoration se heurte à l'interdiction de l' art. 12 Cst. BGE 115 Ia 127 S. 129 La Constitution du canton de Genève porte la date du 24 mai 1847; l'art. 178 figurait déjà dans le texte d'origine. A cette époque, avant la création de l'Etat fédéral, une garantie de la Confédération n'était pas nécessaire. Une mise à jour complète de la Constitution genevoise a cependant été réalisée le 7 novembre 1958 et approuvée par les citoyens le 7 décembre 1958. La nouvelle version a alors reçu la garantie selon un arrêté fédéral du 12 juin 1959 (FF 1959 I 1591). Celui-ci réserve toutefois que plusieurs dispositions, en particulier l'art. 178, doivent être appliquées dans les limites du droit fédéral. Sur ce point, dans son message à l'Assemblée fédérale (FF 1959 I 1438), le Conseil fédéral retenait que "[l'art. 178] interdit aux membres du Grand Conseil, ainsi qu'aux fonctionnaires et employés de l'Etat d'accepter, sans autorisation soit du Grand Conseil soit du Conseil d'Etat, titres, décorations, émoluments ou pensions d'un gouvernement étranger. ici aussi il faut réserver la prohibition et la sanction de l' art. 12 Cst. en ce qui concerne les membres du Grand Conseil et rappeler qu'en vertu du droit fédéral l'interdiction des décorations et des titres étrangers s'applique en outre à tous les militaires." La Confédération a ainsi refusé d'accorder sa garantie à l' art. 178 Cst. gen. dans la mesure où cette disposition n'est pas conforme à l' art. 12 Cst. S'il constatait que l'acceptation d'une nomination à l'Ordre des arts et des lettres était contraire à l'interdiction des décorations de l' art. 12 Cst. , le Grand Conseil devait en déduire que l'autorisation prévue par la Constitution cantonale n'entrait pas en considération. Il a appliqué l' art. 12 Cst. en se conformant à la pratique des autorités fédérales, qu'il a étudiée de manière détaillée. Le recourant lui reproche d'avoir omis arbitrairement d'exercer le pouvoir d'appréciation qui lui est conféré par l'art. 22 de son règlement, qui répète la règle de l' art. 178 Cst. gen. Il est exact que les décisions des autorités fédérales relatives à l' art. 12 Cst. sont des précédents qui ne lient ni le Grand Conseil ni le Tribunal fédéral; un jugement indépendant est garanti. Le Grand Conseil connaissait cette situation; cela ressort de l'examen approfondi de l'affaire par la commission législative et aussi de la discussion du plénum. Il a étudié l'origine et le sens actuel des art. 12 Cst. et 178 Cst. gen. Il en a conclu, avec la volonté de respecter le droit fédéral, que l'acceptation de la décoration était interdite par l'art, 12 Cst, Les critiques du recourant sont donc injustifiées. b) Ce dernier soutient à tort qu'il était inadmissible d'appliquer l'art. 224 du règlement du Grand Conseil. Cette disposition règle BGE 115 Ia 127 S. 130 la procédure à suivre lorsqu'un député se trouve dans une situation d'incompatibilité, et son al. 4 vise expressément les cas qui surviennent au cours de la législature. L'al. 5 prévoit que le Président du Grand Conseil invite le député concerné à choisir, dans un délai de huit jours, entre le mandat de député et la fonction tenue pour incompatible. Cette réglementation peut être appliquée par analogie en cas d'acceptation d'une décoration décernée par un gouvernement étranger.</w:t>
      </w:r>
    </w:p>
    <w:p>
      <w:r>
        <w:rPr>
          <w:b/>
        </w:rPr>
        <w:t>E. 3</w:t>
      </w:r>
    </w:p>
    <w:p>
      <w:r>
        <w:t>Le recourant prétend que l' art. 12 Cst. ne fait pas obstacle à l'acceptation de l'Ordre des arts et des lettres. Le Tribunal fédéral examine librement cette question, en tenant toutefois dûment compte de l'opinion du Grand Conseil du canton de Genève, qui est l'autorité cantonale suprême. Il n'est pas lié par la pratique des autorités fédérales, mais il ne saurait ignorer les solutions que celle-ci a apportées. a) Les méthodes développées pour l'interprétation des lois ordinaires s'appliquent en principe aussi aux dispositions constitutionnelles ( ATF 112 Ia 212 consid. 2a, avec références). Le Tribunal fédéral fait usage de plusieurs critères ( ATF 110 Ib 7 consid. cc, avec références). Il se réfère d'abord à la lettre de la disposition ( ATF 111 Ia 209 consid. 6a) et il détermine le sens et le but de la réglementation légale avec toutes les méthodes d'interprétation reconnues ( ATF 109 Ia 303 consid. 6c et d). Il met à contribution les travaux préparatoires et respecte la volonté originelle du constituant ou du législateur, dans la mesure où celle-ci a été exprimée dans le texte à interpréter ( ATF 109 Ia 303 consid. 12c avec références). Les travaux préparatoires sont pris en considération lorsqu'ils permettent d'attribuer un sens net à un texte obscur, mais plus ils sont anciens, moins ils sont concluants ( ATF 111 II 152 consid. 4a, ATF 108 Ia 37 ). Le Tribunal fédéral a jugé que, pour les règles constitutionnelles, le rôle des divers critères d'interprétation varie selon qu'il s'agit d'une prescription organique ou de la garantie d'un droit fondamental dont il faut déterminer l'étendue. Dans le premier cas, la marge d'interprétation est relativement étroite. En effet, les règles organiques de la Constitution n'ont pas la portée et la souplesse des dispositions qui régissent, sur le fond, les rapports de l'Etat à ses citoyens. Ces dernières nécessitent, plus qu'une interprétation, une concrétisation qui tienne compte de conditions historiques et de conceptions sociales en évolution. En revanche, les règles organiques reflètent la volonté du constituant quant à la BGE 115 Ia 127 S. 131 structure et au fonctionnement de l'Etat. Elles définissent un ordre qui n'a guère besoin d'être concrétisé. Des conceptions nouvelles ne peuvent pas être reçues lors de l'interprétation de la Constitution; s'il y a lieu, elles doivent être introduites par un amendement. Par conséquent, en l'absence d'un texte tout à fait clair, les données historiques sont prépondérantes; il faut s'en tenir aux représentations du constituant au moment où la règle a été édictée et à la pratique subséquente des autorités chargées de son application ( ATF 112 Ia 112 consid. 2a). b) Le texte de l' art. 12 Cst. est dépourvu d'ambiguïté. Il interdit l'acceptation de pensions, traitements, titres, cadeaux ou décorations de la part de gouvernements étrangers. Cette disposition vise d'abord les membres des autorités fédérales, les fonctionnaires fédéraux civils et militaires et les représentants et commissaires fédéraux. Il a son origine dans la Constitution de 1848; la révision totale de 1874 ne lui a apporté qu'une modeste extension. Ce n'est que sur la base d'une initiative populaire déposée en 1928 que l'interdiction a été élargie aux membres des gouvernements et des autorités législatives des cantons (BURCKHARDT, Kommentar zur Bundesverfassung von 1874, 3e éd., p. 101 ss). aa) En qualité de membre du Grand Conseil du canton de Genève, le recourant appartient au cercle des personnes auxquelles l'acceptation d'une décoration est interdite tant par l' art. 12 Cst. que par l' art. 178 Cst. gen. La notion constitutionnelle de la décoration ("Orden") est également claire. Il s'agit de la marque extérieure de l'appartenance à une collectivité, réelle ou seulement fictive, qui n'existe que pour honorer des personnes méritantes par une dénomination commune, et qui est décernée selon des règles précises, de manière qu'elle constitue une institution durable (BURCKHARDT, op.cit., p. 104). L'Ordre des arts et des lettres est sans aucun doute, selon ces critères, une décoration. Il ressort de la lettre du Ministère de la culture et de la communication, du 25 mai 1987, que cet ordre est une institution permanente créée en 1957, et que la nomination à l'un de ses trois grades (commandeur, officier, chevalier) intervient selon des règles déterminées, aux fins de reconnaître des contributions artistiques ou littéraires particulières. Il faut donc retenir, à première vue, que l'acceptation de cette distinction se heurte au texte clair de l' art. 12 Cst. bb) D'après l'origine historique de l'interdiction des décorations, le recourant prétend que celle-ci n'est pas dirigée contre BGE 115 Ia 127 S. 132 l'acceptation d'une distinction culturelle pour les contributions littéraires ou artistiques. Il est exact que, du point de vue historique, l'interdiction est liée au recrutement de mercenaires, au moyen de paiements, par les Etats étrangers, selon une pratique qui était courante dans l'ancienne Confédération (sur les antécédents et sur l'élaboration de l' art. 12 Cst. , voir l'exposé détaillé de PIAGET, Das Pensionen-, Titel- und Ordensverbot, thèse Zurich 1936, p. 7 ss). Cependant, l'interdiction reposait d'emblée sur l'idée tout à fait générale que les personnes au service de la Confédération ne doivent avoir à l'esprit que l'intérêt de celle-ci, sans avoir d'obligations, même morales, envers d'autres Etats (cf. BURCKHARDT, op.cit., p. 103). Cet objectif global a aussi été exprimé dans les discussions relatives à l'initiative de 1928 en faveur de l'extension de l'interdiction. Celle-ci devait, selon le projet, atteindre tous les Suisses sans exception. Cette rigueur a été jugée excessive, ce qui a mené à un contre-projet, finalement adopté, qui étendait l'interdiction des décorations aux membres des gouvernements et des parlements cantonaux. Au regard de ces éléments, l'influence historique du service militaire à l'étranger, qui a pu jouer un rôle dans la constitution de 1848, n'impose nullement l'interprétation restrictive de l' art. 12 Cst. qui est préconisée par le recourant. D'après le message relatif à l'initiative précitée, cette disposition doit combattre toute influence indésirable, pouvant se manifester aussi dans les cantons, exercée par la remise de décorations et de pensions. Le Conseil fédéral relevait que les cantons entretiennent de multiples relations culturelles et économiques avec l'étranger, qui peuvent les mener à entrer en rapport direct avec les autorités étrangères dans le cadre des art. 9 et 10 Cst. ; cette situation ne devait pas être ignorée, car quatorze cantons ou demi-cantons touchaient au territoire étranger (rapport du Conseil fédéral du 30 août 1929; FF 1929 II p. 795). L' art. 12 Cst. est destiné à exclure toute influence propre à compromettre l'indépendance des personnes concernées; cet objectif rigoureux ressort clairement du texte constitutionnel ainsi que des travaux préparatoires. Même des liens purement moraux, engendrés par des distinctions humanitaires ou culturelles, doivent être évités; à ces fins, les membres des parlements et gouvernements cantonaux ont également été assujettis à l'interdiction des décorations. Le constituant de 1931 a voulu aussi interdire, au sein des parlements cantonaux, l'acceptation de décorations à caractère culturel. BGE 115 Ia 127 S. 133 cc) La pratique des autorités fédérales montre également la vaste portée de l' art. 12 Cst. Elle confirme qu'il n'y a aucune différence, au regard de cette disposition, selon qu'une décoration récompense des performances militaires ou des contributions humanitaires ou culturelles (voir les exemples mentionnés par PIAGET, op.cit., p. 90 ss). Le rapport de la commission législative du Grand Conseil relève avec pertinence que le conseiller national Jean Ziegler a été invité, au début de la législature en cours, à abandonner le titre de chevalier de l'Ordre des arts et des lettres, qu'il a reçu à l'instar du recourant, ou à abandonner son mandat à l'Assemblée fédérale (BOCN, 30 novembre 1987, p. 1546). dd) Il reste à examiner si les modifications de la situation politique, survenues depuis 1931, imposent une appréciation différente. La jurisprudence du Tribunal fédéral n'exclut pas qu'une interprétation contemporaine puisse mettre en évidence une évolution du sens donné à une règle constitutionnelle, notamment en raison d'une transformation du contexte historique ( ATF 104 Ia 291 consid. c). Cependant, la signification attribuée à l' art. 12 Cst. n'a pas changé. Il importe peu qu'en raison du cercle des personnes concernées et de l'objet de l'interdiction, l' art. 12 Cst. ne parvienne qu'imparfaitement à prévenir des ingérences de l'étranger. A cet égard, les arguments du recourant ne dispensent pas le juge constitutionnel d'appliquer le droit en vigueur en en respectant le sens et le but. Contrairement à l'opinion soutenue dans le recours, l'interdiction des décorations ne fait pas obstacle à la collaboration de la Suisse, en matière culturelle et humanitaire, avec les autres pays et les organisations internationales. Elle n'entrave pas non plus les citoyens dans leurs travaux scientifiques, littéraires ou artistiques, même s'ils appartiennent au groupe défini par la disposition critiquée. De plus, l'interdiction des décorations s'apparente étroitement avec les règles organiques de la Constitution, cela même si elle ne peut pas tout à fait être assimilée à celles-ci. L'évolution des conceptions ne peut pas être prise en considération lors de l'interprétation des règles sur l'organisation des pouvoirs publics et la compétence des organes de l'Etat; elle doit plutôt mener à un amendement de ces règles ( ATF 112 Ia 213 consid. 2a, 216 consid. 2dd). Ce principe s'applique également à une interdiction des décorations étrangères visant un groupe déterminé de personnes; une telle règle ne perd pas sa validité simplement parce que, le cas échéant, le rôle de l'institution a changé.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