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103 vom 1. Januar 2021</w:t>
      </w:r>
    </w:p>
    <w:p>
      <w:r>
        <w:t>Bundesgericht (BGE), 2021-01-01, DE</w:t>
      </w:r>
    </w:p>
    <w:p>
      <w:r>
        <w:rPr>
          <w:b/>
        </w:rPr>
        <w:t xml:space="preserve">Quelle: </w:t>
      </w:r>
      <w:r>
        <w:t>https://mcp.opencaselaw.ch/entscheid/bge_BGE_115_Ia_103</w:t>
      </w:r>
    </w:p>
    <w:p>
      <w:r>
        <w:t>FR: BGE BGE 115 Ia 103 du 1 janvier 2021</w:t>
      </w:r>
    </w:p>
    <w:p>
      <w:r>
        <w:t>IT: BGE BGE 115 Ia 103 del 1 gennaio 2021</w:t>
      </w:r>
    </w:p>
    <w:p>
      <w:pPr>
        <w:pStyle w:val="Heading2"/>
      </w:pPr>
      <w:r>
        <w:t>Regeste</w:t>
      </w:r>
    </w:p>
    <w:p>
      <w:r>
        <w:t>Regeste Art. 4 BV; Amtliche Verteidigung im Strafverfahren. In Fällen, in denen der Angeklagte nicht mit einer Freiheitsstrafe von mehr als 18 Monaten rechnen muss, die jedoch keine Bagatellfälle darstellen, bestimmt sich die Notwendigkeit der amtlichen Verteidigung nach den Umständen des Einzelfalles. Nicht entscheidend für die Verweigerung der amtlichen Verteidigung ist, dass das Strafverfahren vom Untersuchungsgrundsatz beherrscht ist (E. 4).</w:t>
      </w:r>
    </w:p>
    <w:p>
      <w:r>
        <w:t>Regeste Art. 4 Cst.; défense d'office en procédure pénale. Dans les cas où l'accusé ne doit pas s'attendre à une peine supérieure à 18 mois et qui, néanmoins, ne sont pas dépourvus d'importance, la nécessité d'une défense d'office doit être déterminée selon les circonstances de l'espèce. La défense d'office ne doit pas être refusée seulement parce que la procédure pénale est régie par la maxime inquisitoire (consid. 4).</w:t>
      </w:r>
    </w:p>
    <w:p>
      <w:r>
        <w:t>Regesto Art. 4 Cost.; difesa d'ufficio in un procedimento penale. Nei casi in cui l'imputato non deve attendersi una pena privativa della libertà personale di durata superiore a 18 mesi, ma che non sono privi d'importanza, la necessità di una difesa d'ufficio va determinata secondo le circostanze della fattispecie concreta. La difesa d'ufficio non può essere negata solo perché il procedimento penale è retto dal principio inquisitorio (consid. 4).</w:t>
      </w:r>
    </w:p>
    <w:p>
      <w:pPr>
        <w:pStyle w:val="Heading2"/>
      </w:pPr>
      <w:r>
        <w:t>Erwägungen</w:t>
      </w:r>
    </w:p>
    <w:p>
      <w:r>
        <w:rPr>
          <w:b/>
        </w:rPr>
        <w:t>E. 4</w:t>
      </w:r>
    </w:p>
    <w:p>
      <w:r>
        <w:t>Der Beschwerdeführer macht im weitern geltend, in Verletzung von Art. 4 BV sei ihm die Bestellung eines amtlichen Verteidigers verweigert worden. Im vorliegenden Fall müssten "knifflige" rechtliche Probleme beantwortet werden und auch in tatsächlicher Hinsicht stellten sich schwierige Fragen. Zwar sei ihm sein Sohn im Strafverfahren bisher behilflich gewesen, was aber wegen dessen beruflicher Stellung künftig nicht mehr der Fall sein könne. Vom Wissen seines Sohnes dürfe auch nicht auf seine eigene BGE 115 Ia 103 S. 105 Verteidigungsfähigkeit geschlossen werden. Auch die obergerichtliche Argumentation, hinreichende Rechtsnachteile entstünden erst, wenn das angedrohte Strafmass eine Freiheitsstrafe von einem Jahr übersteige, widerspreche Art. 4 BV . Nach der bundesgerichtlichen Rechtsprechung hat der Angeklagte auf Grund von Art. 4 BV keinen Anspruch auf amtliche Verteidigung, wenn es sich bei der Strafsache um einen Bagatellfall handelt und sie in tatsächlicher oder rechtlicher Hinsicht keine Schwierigkeiten bietet, denen der Angeklagte nicht gewachsen ist. Unabhängig von den tatsächlichen und rechtlichen Schwierigkeiten besteht hingegen im allgemeinen schon dann ein Anspruch auf amtliche Verteidigung, wenn der Angeklagte mit einer Strafe zu rechnen hat, für welche wegen ihrer Dauer von mehr als 18 Monaten die Gewährung des bedingten Vollzuges ausgeschlossen ist, oder wenn eine freiheitsentziehende Massnahme von erheblicher Tragweite in Frage steht ( BGE 113 Ia 221 E. 3b, BGE 111 Ia 83 E. 2c mit Hinweisen). Bei einer weiteren Gruppe von als relativ schwer zu bezeichnenden Strafsachen beantwortet das Bundesgericht die Frage der Notwendigkeit der amtlichen Verteidigung aufgrund der Umstände des Einzelfalles. Dabei stellt es auf verschiedene Kriterien ab: neben der Schwere der vom Angeklagten zu gewärtigenden Sanktion zieht es die Schwierigkeit des Straffalles in rechtlicher und tatsächlicher Hinsicht in Betracht; hierfür können etwa die rechtliche Qualifikation einer Tat und die Frage der Täterschaft sowie der Umstand entscheidend sein, ob ein Geständnis vorliegt ( BGE 103 Ia 5 E. 2 mit Hinweisen). Jene Schwierigkeiten sind an den Fähigkeiten des Angeklagten zu messen. Vorweg ist festzuhalten, dass das Obergericht die Aufgabe des Strafverteidigers verkennt und sie auch völlig unterschätzt, wenn es sich darauf beruft, im vorliegenden Strafverfahren seien die Rechtsanwendung und die Beweiswürdigung von Amtes wegen vorzunehmen. Jedenfalls kann mit einem Verweis auf das in Strafverfahren geltende Offizialprinzip nicht argumentiert werden, ein Angeklagter brauche den Beistand eines Anwaltes nicht ( BGE 112 Ia 16 E. b, BGE 95 I 361 E. b; ARTHUR HAEFLIGER, Alle Schweizer sind vor dem Gesetze gleich, 1985, S. 173). Im vorliegenden Fall liegt auch kein sogenannter Bagatellfall vor. Davon kann insbesondere dann nicht mehr die Rede sein, wenn eine Freiheitsstrafe von mehreren Monaten in Betracht kommt (vgl. ARTHUR HAEFLIGER, a.a.O. S. 175). Gegen den Beschwerdeführer ist immerhin eine unbedingte Gefängnisstrafe BGE 115 Ia 103 S. 106 von drei Monaten beantragt. Es handelt sich somit um eine als relativ schwer zu bezeichnende Strafsache. Zudem bilden drei verschiedene Sachverhalte, welche gemäss der Anklageschrift vier verschiedene Vergehenstatbestände betreffen, Gegenstand des Verfahrens. Ferner ergibt sich aus den Akten, dass die vorliegende Strafsache zwar weniger in rechtlicher Hinsicht als vielmehr in tatsächlicher Beziehung nicht geringe Schwierigkeiten bietet. Die drei zur Beurteilung stehenden Sachverhalte sind tatsächlich völlig umstritten. Ausserdem ergibt sich aus den Akten, dass der Beschwerdeführer den sich bietenden Schwierigkeiten, nicht zuletzt auf Grund seiner Persönlichkeitsstruktur, nicht gewachsen ist. Diese Schwierigkeiten vermag auch der Beistand seines Sohnes, selbst wenn dieser auch zukünftig möglich wäre, nicht hinreichend zu beseitigen. Der Beschwerdeführer selbst muss nämlich als Prozesssubjekt zu einer Reihe von Fragen selbständig Stellung nehmen. Aufgrund der Akten zeigt sich, dass er den sich dabei bietenden Schwierigkeiten nicht gewachsen ist. Ausschlaggebend ist in diesem Zusammenhang nicht, ob der Beschwerdeführer dringend psychiatrisch behandelt werden sollte, wie einer der Geschädigten ausführte. Entscheidend ist jedoch, dass der Beschwerdeführer von massgeblichen Amtspersonen im Leumundsbericht als sehr aufbrausend und jähzornig sowie mit querulatorischen Zügen behaftet geschildert wird. Dies trat denn auch im Laufe der Strafuntersuchung zu Tage. So geriet er anlässlich der ersten untersuchungsrichterlichen Einvernahme "ausser Rand und Band" und verliess "wutentbrannt das Zimmer", obschon er den unmittelbar darauf stattfindenden Zeugeneinvernahmen hätte beiwohnen sollen. Sowohl im vorliegenden als auch in einem vorangegangenen Strafverfahren weigerte er sich, zu seiner Person auszusagen und betonte, auch an der gerichtlichen Hauptverhandlung werde er diesbezüglich keine Angaben machen, sei er doch "kein Verbrecher". Diesen Schwierigkeiten vermag auch das strafprozessuale Offizialprinzip nicht bzw. nicht hinreichend zu begegnen. Damit sind aber nach der dargelegten Rechtsprechung des Bundesgerichtes die Voraussetzungen gegeben, dass dem Beschwerdeführer für die betreffende Strafsache ein amtlicher Verteidiger beizugeben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