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85</w:t>
      </w:r>
    </w:p>
    <w:p>
      <w:r>
        <w:t>Bundesgericht (BGE), 1989-01-01, FR</w:t>
      </w:r>
    </w:p>
    <w:p>
      <w:r>
        <w:rPr>
          <w:b/>
        </w:rPr>
        <w:t xml:space="preserve">Quelle: </w:t>
      </w:r>
      <w:r>
        <w:t>https://mcp.opencaselaw.ch/entscheid/bge_BGE_115_IV_85</w:t>
      </w:r>
    </w:p>
    <w:p>
      <w:r>
        <w:t>FR: ATF 115 IV 85</w:t>
      </w:r>
    </w:p>
    <w:p>
      <w:r>
        <w:t>IT: DTF 115 IV 85</w:t>
      </w:r>
    </w:p>
    <w:p>
      <w:pPr>
        <w:pStyle w:val="Heading2"/>
      </w:pPr>
      <w:r>
        <w:t>Regeste</w:t>
      </w:r>
    </w:p>
    <w:p>
      <w:r>
        <w:t>Regeste Art. 41 Ziff. 1 Abs. 1 StGB; bedingter Strafvollzug. Insbesondere ein in jeder Hinsicht ausgezeichneter Leumund erlaubt in gewissen Fällen eine günstige Prognose, auch wenn der angetrunkene Fahrzeuglenker wegen Fahrens in angetrunkenem Zustand vorbestraft ist.</w:t>
      </w:r>
    </w:p>
    <w:p>
      <w:r>
        <w:t>Regeste Art. 41 ch. 1 al. 1 CP; sursis. Une excellente réputation à tous égards, notamment, permet dans certains cas de poser un pronostic favorable même si le conducteur pris de boisson a déjà été condamné pour une infraction de cette nature.</w:t>
      </w:r>
    </w:p>
    <w:p>
      <w:r>
        <w:t>Regesto Art. 41 n. 1 cpv. 1 CP; sospensione condizionale della pena. Un'eccellente reputazione sotto ogni aspetto permette, in determinati casi, un pronostico favorevole anche se chi ha guidato in stato d'ebrietà è già stato condannato per un reato di tale indole.</w:t>
      </w:r>
    </w:p>
    <w:p>
      <w:pPr>
        <w:pStyle w:val="Heading2"/>
      </w:pPr>
      <w:r>
        <w:t>Erwägungen</w:t>
      </w:r>
    </w:p>
    <w:p>
      <w:r>
        <w:rPr>
          <w:b/>
        </w:rPr>
        <w:t>E. 3</w:t>
      </w:r>
    </w:p>
    <w:p>
      <w:r>
        <w:t>a) Sur le plan de la faute, la cour cantonale l'a considérée comme n'étant pas si grave, indépendamment de ses conséquences tragiques, compte tenu du faible degré d'alcoolémie et des circonstances particulières. Cette appréciation peut paraître clémente car un taux d'alcoolémie de 1,37 g 0/00, n'est pas négligeable et le conducteur savait qu'il prendrait le volant après le repas où il a consommé de l'alcool. Elle n'est cependant pas déterminante puisqu'il faut examiner encore la situation personnelle et les antécédents de l'auteur. On observe d'ailleurs que la perte de maîtrise elle-même prévue à l'art. 31 al. 1 LCR n'a pas été imputée à faute à l'intimé. b) Le seul antécédent pénal du conducteur fautif est une condamnation à une peine d'amende de 600 francs. Certes il avait conduit un véhicule avec un taux d'alcoolémie de 0,99 g 0/00. Cette quantité et le fait que seule une peine d'amende ait été prononcée montrent que la culpabilité a été considérée comme n'étant pas grave. Il ne s'imposait donc pas de refuser un pronostic favorable en raison de ce seul antécédent. Surtout, il ressort des constatations de la cour cantonale que la réputation de l'accusé est excellente à tous égards, qu'il est en général très sobre, malgré les tentations inhérentes à son métier de BGE 115 IV 85 S. 87 cuisinier, qu'il ne présente pas un défaut de caractère le poussant à boire, qu'il a signé et tenu un engagement d'abstinence de plus d'une année et que les parents de la victime se sont retirés de la Procédure après s'être constitués partie plaignante et civile. Dans ces circonstances, le refus du sursis, à cause de l'antécédent et du fait que l'intimé savait qu'il reprendrait le volant, équivaudrait presque à en exclure l'octroi dès qu'il existe une récidive, indépendamment de sa gravité. Ce serait diminuer la portée du changement de jurisprudence décrit aux ATF 95 IV 49 et 55. c) Dès lors, l'autorité cantonale a tenu compte de l'ensemble des facteurs pertinents en matière d'octroi du sursis. Elle a considéré que le caractère de l'auteur permettait de lui laisser une chance de faire ses preuves (voir ATF 105 IV 291). Elle a toutefois fixé le délai d'épreuve au maximum légal de 5 ans. Ces motifs sont soutenables. Compte tenu du large pouvoir d'appréciation reconnu aux instances cantonales, on ne saurait admettre que l'arrêt attaqué viole le droit fédéral.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