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225</w:t>
      </w:r>
    </w:p>
    <w:p>
      <w:r>
        <w:t>Bundesgericht (BGE), 1989-01-01, FR</w:t>
      </w:r>
    </w:p>
    <w:p>
      <w:r>
        <w:rPr>
          <w:b/>
        </w:rPr>
        <w:t xml:space="preserve">Quelle: </w:t>
      </w:r>
      <w:r>
        <w:t>https://mcp.opencaselaw.ch/entscheid/bge_BGE_115_IV_225</w:t>
      </w:r>
    </w:p>
    <w:p>
      <w:r>
        <w:t>FR: ATF 115 IV 225</w:t>
      </w:r>
    </w:p>
    <w:p>
      <w:r>
        <w:t>IT: DTF 115 IV 225</w:t>
      </w:r>
    </w:p>
    <w:p>
      <w:pPr>
        <w:pStyle w:val="Heading2"/>
      </w:pPr>
      <w:r>
        <w:t>Regeste</w:t>
      </w:r>
    </w:p>
    <w:p>
      <w:r>
        <w:t>Regeste Art. 110 Ziff. 5 und 251 Ziff. 1 StGB; Urkundenfälschung. - Eine Rechnung, die einen Bestandteil der dem Inhaber einer Weinhandelsbewilligung obliegenden Buchführung bildet, ist eine Urkunde (E. 2c ff.). - Es liegt eine Falschbeurkundung vor, wenn eine Rechnung den Eindruck vermittelt, dass deklassierte Weine entsprechend den geltenden Regeln gehandelt wurden, obwohl sie dem Käufer als nicht deklassierte Weine angeboten worden sind (E. 2d).</w:t>
      </w:r>
    </w:p>
    <w:p>
      <w:r>
        <w:t>Regeste Art. 110 ch. 5 et 251 ch. 1 CP, faux dans les titres. - Une facture qui fait partie de la comptabilité de cave, incombant au titulaire d'un permis pour le commerce des vins, est un titre (consid. 2c ss). - Constitue un faux intellectuel la facture qui donne l'impression que des vins déclassés ont été commercialisés conformément aux règles en vigueur, alors qu'ils avaient été présentés à l'acheteur comme des vins non déclassés (consid. 2d).</w:t>
      </w:r>
    </w:p>
    <w:p>
      <w:r>
        <w:t>Regesto Art. 110 n. 5 e 251 n. 1 CP, falsità in documenti. - Una fattura che fa parte della contabilità incombente al titolare di un permesso per il commercio di vini è un documento (consid. 2c segg.). - Costituisce un falso ideologico la fattura da cui si ottiene l'impressione che vini declassati siano stati commercializzati secondo le norme vigenti, mentre erano stati presentati all'acquirente come vini non declassati (consid. 2d).</w:t>
      </w:r>
    </w:p>
    <w:p>
      <w:pPr>
        <w:pStyle w:val="Heading2"/>
      </w:pPr>
      <w:r>
        <w:t>Erwägungen</w:t>
      </w:r>
    </w:p>
    <w:p>
      <w:r>
        <w:rPr>
          <w:b/>
        </w:rPr>
        <w:t>E. 1</w:t>
      </w:r>
    </w:p>
    <w:p>
      <w:r>
        <w:t>D'après le recourant, l'autorité cantonale a violé l' art. 251 CP car il n'y aurait pas de titre faux ni de dessein d'enrichissement illégitime.</w:t>
      </w:r>
    </w:p>
    <w:p>
      <w:r>
        <w:rPr>
          <w:b/>
        </w:rPr>
        <w:t>E. 2</w:t>
      </w:r>
    </w:p>
    <w:p>
      <w:r>
        <w:t>a) De l'avis du condamné, la facture ne serait pas un titre, car sa seule fonction était de prouver la vente d'une certaine quantité de vins à un acheteur déterminé, pour un prix fixé; elle a été établie dans son propre intérêt, ce qui ne lui conférerait pas de force probante, si l'on s'en tenait aux principes jurisprudentiels ( ATF 96 IV 150 = JdT 1972 IV p. 16, notamment consid. 2a p. 19/20). Le recourant soutient encore que la facture en cause ne contient aucun élément mensonger puisque la date, les quantités livrées, les prix et la marchandise y sont indiqués de façon exacte. Selon lui, il y aurait eu tromperie ou mensonge seulement si les vins livrés avaient été élevés en cuves séparées puis vendus sous l'appellation de Fendant ou de Dôle, malgré le déclassement; or, c'est le contraire qui s'est produit car il est constaté que les vins litigieux se trouvaient en réalité dans les mêmes cuves que la Dôle et le Fendant provenant de la vendange contrôlée officiellement; ainsi, le fait de donner une appellation moins noble à des vins qui auraient pu prétendre aux noms de Fendant ou de Dôle serait plutôt favorable à l'acheteur. Le recourant invoque la situation du marché en 1981 qui permettait de vendre n'importe quelle "piquette" d'origine suisse à des prix disproportionnés. Il se dit victime d'une législation mal faite et de poursuites pénales injustifiées car seule une amende administrative pouvait être prononcée. Au sujet de l'élément de l'avantage illicite prévu à l' art. 251 CP (appelé à tort dessein d'enrichissement dans le mémoire), le condamné nie toute intention de s'enrichir et de frauder. Il estime que le Ministère public n'a pas apporté de preuves suffisantes dans ce sens. Les prix obtenus seraient le fruit du jeu de la concurrence en période de pénurie, non pas d'un dessein de s'enrichir. b) Le pourvoi est irrecevable dans la mesure où le recourant remet en cause les considérants relatifs à son intention. En effet, BGE 115 IV 225 S. 228 celle-ci fait partie des questions de fait dont la cour de céans ne peut être saisie dans le cadre du pourvoi en nullité (art. 277bis al. 1 et 273 al. 1 lettre b PPF; ATF 111 IV 81 consid. 5a et jurisprudence citée). c) Aux termes de l' art. 110 ch. 5 CP , sont réputés titres tous écrits destinés ou propres à prouver un fait ayant une portée juridique. D'après la jurisprudence, en règle générale les factures ne constituent pas des titres car elles contiennent des déclarations unilatérales seulement, qui ne sont pas propres à prouver la véracité des faits exposés ( ATF 103 IV 184 , ATF 102 IV 194 consid. 2, ATF 96 IV 154 , ATF 88 IV 34 et jurisprudence citée). Elles peuvent cependant revêtir la qualité de titres lorsque, en vertu de la loi ou des usages commerciaux, elles sont propres à servir de preuve (voir ATF ATF 114 IV 28 , consid. 2b et jurisprudence citée, ATF 114 IV 33 consid. 2a). Il a aussi été jugé que la comptabilité commerciale et les éléments qui la composent sont des titres au sens du droit pénal ( ATF 114 IV 31 , ATF 111 IV 120 consid. 2, 108 IV 26). Celui qui avait obtenu que son fournisseur étranger établisse de fausses factures, afin d'induire les douanes en erreur, a été déclaré coupable de faux dans les titres en qualité d'auteur médiat ( ATF 96 IV 153 consid. 2a, voir JdT 1972 IV 20). Dans l'arrêt du 13 juin 1989 ( ATF 115 IV 118 consid. 2b), se trouve un aperçu de la jurisprudence concernant la destination d'un écrit à prouver un fait (Beweisbestimmung). d) La facture en cause ici est mensongère car elle donne l'impression que les vins déclassés ont été commercialisés conformément aux règles en vigueur, alors qu'en réalité ils avaient été présentés à l'acquéreur comme des vins n'ayant pas été déclassés (appellations Fendant et Dôle). Il s'agit d'une pièce qui n'est pas fausse ou falsifiée (unecht) car chacun de ses éléments est exact mais, faute d'indiquer tous les faits, elle donne une image trompeuse de ce qui s'est réellement passé. C'est un faux dit intellectuel ou immatériel (Lugurkunde; voir LOGOZ, Partie spéciale II p. 530; G. STRATENWERTH, Bes. Teil II, 3e éd., p. 176 ss). Le caractère trompeur de la facture a pu porter préjudice à la clientèle de l'auteur. Cet aspect de l'affaire n'est cependant plus en cause puisque l'escroquerie n'a pas été retenue. La facture avait cependant aussi une autre fonction. En application de la législation notamment fédérale en matière de viticulture, elle constituait une BGE 115 IV 225 S. 229 partie intégrante de la comptabilité de cave (art. 8 et 9 de l'Ordonnance sur le commerce des vins, RS 817.421; art. 4 al. 2 de l'Ordonnance du Département fédéral de l'intérieur sur le commerce des vins, RS 817.421.1). C'est exclusivement sous cet angle que son éventuel caractère de titre doit être examiné ici. e) Avec raison, l'autorité cantonale a considéré qu'en rédigeant la facture mensongère le recourant a créé une pièce justificative destinée à sa comptabilité de cave. La cour cantonale a constaté que ce comportement avait pour but d'être en mesure de se justifier en cas de contrôle. L'auteur visait à obtenir un avantage illicite en ce sens que sa manoeuvre lui permettait de vendre du vin formellement déclassé au prix de vins non déclassés; il échappait ainsi à la pénalité que les autorités administratives lui avaient infligée. Dans ces circonstances, la facture constituait un titre, car selon les règles légales en vigueur dans le domaine de la viticulture elle était destinée à prouver aux autorités administratives que les vins déclassés avaient été commercialisés comme tels. Elle était aussi propre à prouver ce fait, puisqu'elle constituait une partie intégrante de la comptabilité des vins, que le recourant devait tenir (indépendamment de la comptabilité commerciale). Dès lors, la cour cantonale n'a pas violé le droit fédéral en reconnaissant la qualité de titre à la facture en cause. Ce caractère découlant de la législation en matière de viticulture, les moyens tirés du principe de la force de persuasion accrue des déclarations unilatérales défavorables à leur auteur ( ATF 96 IV 152 ) ne sont d'aucun secours au condamné. f) En plus de l'établissement d'un titre mensonger, l' art. 251 ch. 1 CP prévoit que cet acte doit avoir été commis notamment dans le dessein de se procurer un avantage illicite. Celui-ci consiste dans la possibilité que le recourant a préparée d'écouler sa production déclassée à des prix correspondant à ceux des appellations non déclassées et d'échapper ainsi à la pénalité dont il était l'objet. g) Dès lors, tous les éléments constitutifs du crime de faux dans les titres étaient réunis. Le pourvoi doit être en conséquence rejeté dans la mesure où une violation de l' art. 251 ch. 1 CP était alléguée.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