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115 IV 187</w:t>
      </w:r>
    </w:p>
    <w:p>
      <w:r>
        <w:t>Bundesgericht (BGE), 1989-01-01, IT</w:t>
      </w:r>
    </w:p>
    <w:p>
      <w:r>
        <w:rPr>
          <w:b/>
        </w:rPr>
        <w:t xml:space="preserve">Quelle: </w:t>
      </w:r>
      <w:r>
        <w:t>https://mcp.opencaselaw.ch/entscheid/bge_BGE_115_IV_187</w:t>
      </w:r>
    </w:p>
    <w:p>
      <w:r>
        <w:t>FR: ATF 115 IV 187</w:t>
      </w:r>
    </w:p>
    <w:p>
      <w:r>
        <w:t>IT: DTF 115 IV 187</w:t>
      </w:r>
    </w:p>
    <w:p>
      <w:pPr>
        <w:pStyle w:val="Heading2"/>
      </w:pPr>
      <w:r>
        <w:t>Regeste</w:t>
      </w:r>
    </w:p>
    <w:p>
      <w:r>
        <w:t>Regeste Mord, Art. 112 StGB. Die Tötung eines Menschen zum Zwecke des Raubes ist ein typischer Fall des Mordes im Sinne von Art. 112 StGB. Es genügt, dass die Tötung im Rahmen der Verübung des Raubes stattgefunden hat; es ist insoweit unerheblich, ob der Räuber vor, während oder unmittelbar nach der Phase der Aneignung der Beute und ob er ohne besonderen Grund oder aus Angst vor einer (tatsächlichen oder vermuteten) Reaktion des Opfers getötet hat etc.</w:t>
      </w:r>
    </w:p>
    <w:p>
      <w:r>
        <w:t>Regeste Assassinat, art. 112 CP. Le fait de tuer un être humain pour commettre un brigandage représente un cas typique d'assassinat au sens de l'art. 112 CP. Il suffit que l'homicide soit intervenu dans le cadre de l'exécution du brigandage; il est par conséquent sans pertinence que l'auteur ait tué avant, pendant ou immédiatement après l'acquisition du butin ou qu'il ait agi sans raison particulière ou par peur d'une réaction (réelle ou imaginaire) de la victime, etc.</w:t>
      </w:r>
    </w:p>
    <w:p>
      <w:r>
        <w:t>Regesto Assassinio, art. 112 CP. L'uccisione di una persona a scopo di rapina costituisce un tipico caso di assassinio ai sensi dell'art. 112 CP. È all'uopo sufficiente che l'uccisione abbia luogo nel quadro della commissione della rapina, essendo irrilevante per la configurazione giuridica che il rapinatore abbia ucciso prima, durante o subito dopo la fase dell'appropriazione del bottino, che abbia ucciso senza una ragione particolare oppure per timore di una reazione (effettiva o presunta) della vittima, ecc.</w:t>
      </w:r>
    </w:p>
    <w:p>
      <w:pPr>
        <w:pStyle w:val="Heading2"/>
      </w:pPr>
      <w:r>
        <w:t>Erwägungen</w:t>
      </w:r>
    </w:p>
    <w:p>
      <w:r>
        <w:rPr>
          <w:b/>
        </w:rPr>
        <w:t>E. 2</w:t>
      </w:r>
    </w:p>
    <w:p>
      <w:r>
        <w:t>Dall'univoco testo delle due sentenze cantonali emerge che il ricorrente ha ucciso consapevolmente e volontariamente due persone per portar a termine una rapina, senza che tale uccisione fosse giustificata da una legittima difesa o fosse avvenuta in uno stato d'irresponsabilità. Secondo l'unanime dottrina, l'uccisione di una persona a scopo di rapina costituisce un tipico caso di assassinio ai sensi dell'art. 112 CP (v. tra altri, HANS BINDER, Der Massstab bei der Beurteilung der Tötungsdelikte, in Schweizerische Zeitschrift für Strafrecht (ZStR), vol. 67 (1952), pag. 322; HANS WALDER, Vorsätzliche Tötung, Mord und Totschlag (StrGB art. 111-113) in ZStR vol. 96 (1979), pag. 148; GÜNTER STRATENWERTH, Schweizerisches Strafrecht, Parte speciale, ad art. 112, pag. 86; JÖRG REHBERG, Strafrecht III, pag. 51; O. A. GERMANN, Schweizerisches Strafgesetzbuch, ad. art. 112 (pag. 203) e Das Verbrechen im neuen Strafrecht, ad art. 112 (pag. 15) e ad art. 139 (pag. 265); MARTIN SCHUBARTH, Kommentar zum schweizerischen Strafrecht, Parte speciale, ad art. 112 n. 23 (pag. 86). È all'uopo sufficiente che l'uccisione abbia luogo nel quadro della commissione della rapina, essendo irrilevante per la configurazione giuridica che il rapinatore abbia ucciso prima, durante o subito dopo la fase dell'appropriazione del bottino, che abbia ucciso senza una ragione particolare oppure per timore di una reazione (effettiva o presunta) della vittima, ecc. La particolare perversità e/o pericolosità risultano dal fatto stesso che, per appropriarsi del denaro della vittima della rapina, l'agente non esiti ad ucciderla. Nel caso concreto, la duplice uccisione commessa dal ricorrente per portare a termine la sua rapina integra compiutamente e in modo esemplare tutti gli elementi della fattispecie legale dell'art. 112 CP. BGE 115 IV 187 S. 189</w:t>
      </w:r>
    </w:p>
    <w:p>
      <w:r>
        <w:rPr>
          <w:b/>
        </w:rPr>
        <w:t>E. 3</w:t>
      </w:r>
    </w:p>
    <w:p>
      <w:r>
        <w:t>Il ricorrente non mette in discussione circostanze particolari che obblighino il giudice a scostarsi dall'unica pena comminata per l'assassinio, la reclusione perpetua. A ragione egli si limita a chiedere la derubricazione dell'imputazione da assassinio ad omicidio intenzionale. Come già ribadito dalla Corte di cassazione e di revisione penale del Cantone Ticino, il momento di discontrollo del ricorrente, evocato dalle conclusioni psichiatriche e ritenuto attendibile dalla Corte di merito, e intervenuto alla verosimile reazione di F. dopo la sua intimazione, non esclude la particolare perversità accertata e rivelata dall'intero suo agire, teso solo ad impossessarsi ad ogni costo del denaro. Non v'è quindi motivo per la Corte di cassazione del Tribunale federale di rilevare una violazione del diritto federale in cui sarebbe incorsa la CCRP, e ciò neppure tenendo conto di eventuali implicite censure connesse con la motivazione tendente ad ottenere una dichiarazione di colpevolezza per omicidio intenzionale anziché per assassinio.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