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175</w:t>
      </w:r>
    </w:p>
    <w:p>
      <w:r>
        <w:t>Bundesgericht (BGE), 1989-01-01, DE</w:t>
      </w:r>
    </w:p>
    <w:p>
      <w:r>
        <w:rPr>
          <w:b/>
        </w:rPr>
        <w:t xml:space="preserve">Quelle: </w:t>
      </w:r>
      <w:r>
        <w:t>https://mcp.opencaselaw.ch/entscheid/bge_BGE_115_IV_175</w:t>
      </w:r>
    </w:p>
    <w:p>
      <w:r>
        <w:t>FR: ATF 115 IV 175</w:t>
      </w:r>
    </w:p>
    <w:p>
      <w:r>
        <w:t>IT: DTF 115 IV 175</w:t>
      </w:r>
    </w:p>
    <w:p>
      <w:pPr>
        <w:pStyle w:val="Heading2"/>
      </w:pPr>
      <w:r>
        <w:t>Regeste</w:t>
      </w:r>
    </w:p>
    <w:p>
      <w:r>
        <w:t>Regeste Art. 58 Abs. 1 lit. a StGB; Einziehung von Drogenerlös. Die Einziehung kann sich nicht nur gegen den Täter selber oder einen Teilnehmer richten, sondern unter Umständen auch gegen eine Drittperson, die einen Vorteil aus einem von einem anderen begangenen Delikt erlangt hat (E. 2b/aa). Geld, das als Bezahlung für eine tatsächlich erbrachte Leistung und ohne Kenntnis des kriminellen Hintergrundes von einer Drittperson entgegengenommen worden ist, kann bei dieser Drittperson nicht eingezogen werden (E. 2b/bb). Ob und inwieweit dem Betroffenen im Falle einer nachträglich ungerechtfertigten Vermögensbeschlagnahme ein Zins zusteht, beurteilt sich nach den Regeln betreffend Schadenersatz für ungerechtfertigte strafprozessuale Massnahmen, soweit es nicht um laufende, von der Vermögensbeschlagnahme ebenfalls erfasste Zinserträge geht (E. 3).</w:t>
      </w:r>
    </w:p>
    <w:p>
      <w:r>
        <w:t>Regeste Art. 58 al. 1 litt. a CP; confiscation du revenu de la drogue. La confiscation n'est pas seulement possible à l'égard de l'auteur lui-même ou d'un autre participant, mais également, selon les circonstances, à l'égard d'un tiers qui aurait tiré un avantage de l'infraction commise par un autre (consid. 2b/aa). L'argent remis à titre de rétribution d'une prestation effectivement fournie à un tiers qui n'avait pas connaissance du contexte criminel de l'affaire ne peut être confisqué auprès de celui-ci (consid. 2b/bb). Savoir si et dans quelle mesure un intérêt est dû à celui auprès duquel une somme d'argent a été confisquée en vertu d'une décision déclarée par la suite non fondée se détermine d'après les règles applicables en matière de dommages-intérêts pour mesures de procédure pénale non fondées, sauf s'il s'agit d'intérêts courus pour la somme séquestrée et saisis en même temps que celle-ci (consid. 3).</w:t>
      </w:r>
    </w:p>
    <w:p>
      <w:r>
        <w:t>Regesto Art. 58 cpv. 1 lett. a CP; confisca del provento della droga. La confisca non è soltanto possibile nei confronti dell'agente stesso o di altro partecipante, ma pure nei confronti di un terzo che abbia tratto profitto dal reato commesso da altri (consid. 2b/aa). Il denaro corrispettivo di una prestazione effettivamente fornita a un terzo non consapevole del contesto delittuoso dell'affare non può essere confiscato presso di lui (consid. 2b/bb). Si determina secondo le norme applicabili in materia di risarcimento per provvedimenti di procedura penale ingiustificati se, e in quale misura, sia dovuto un interesse a colui al quale sia stato sequestrato un importo di denaro in virtù di una decisione dichiarata poi ingiustificata, salvo che si tratti d'interessi correnti sull'importo sequestrato e compresi in tale sequestro (consid. 3).</w:t>
      </w:r>
    </w:p>
    <w:p>
      <w:pPr>
        <w:pStyle w:val="Heading2"/>
      </w:pPr>
      <w:r>
        <w:t>Erwägungen</w:t>
      </w:r>
    </w:p>
    <w:p>
      <w:r>
        <w:rPr>
          <w:b/>
        </w:rPr>
        <w:t>E. 1</w:t>
      </w:r>
    </w:p>
    <w:p>
      <w:r>
        <w:t>Gemäss Art. 58 Abs. 1 lit. a StGB verfügt der Richter ohne Rücksicht auf die Strafbarkeit einer bestimmten Person die Einziehung von Gegenständen und Vermögenswerten, die durch eine strafbare Handlung hervorgebracht oder erlangt worden sind, an oder mit denen eine strafbare Handlung begangen wurde oder die zur Begehung einer strafbaren Handlung bestimmt waren, soweit die Einziehung zur Beseitigung eines unrechtmässigen Vorteils oder Zustandes als geboten erscheint. Es ist unbestritten, dass es sich bei den heute in Frage stehenden Fr. 350'000.-- um Geld handelt, das Y. bei Heroingeschäften eingenommen hatte. Folglich steht auch fest, dass der Vermögenswert durch strafbare Handlungen des Y. erzielt worden ist. Ebenfalls unbestritten ist, dass es sich bei der Gutschrift auf einem Bankkonto um einen grundsätzlich einziehbaren Vermögenswert BGE 115 IV 175 S. 178 handelt ( BGE 110 IV 8 f.; STRATENWERTH, AT II, § 14 N. 49; TRECHSEL, Kurzkommentar, N. 5 zu Art. 58). Insoweit sind die Voraussetzungen der Einziehung des auf dem Konto des Beschwerdeführers befindlichen Vermögenswertes gemäss Art. 58 StGB gegeben.</w:t>
      </w:r>
    </w:p>
    <w:p>
      <w:r>
        <w:rPr>
          <w:b/>
        </w:rPr>
        <w:t>E. 2</w:t>
      </w:r>
    </w:p>
    <w:p>
      <w:r>
        <w:t>a) Der Beschwerdeführer macht geltend, die Beschlagnahme sei ausdrücklich "zum Verfahren Y." erfolgt; Art. 58 StGB beziehe sich ausschliesslich auf die Einziehung bei Tätern oder Teilnehmern, deren Tathandlung allerdings nicht unbedingt zu einer Strafe führen müsse; er sei demgegenüber weder Täter noch Teilnehmer gewesen, weshalb er als "Dritter" angesehen werden und Art. 58bis StGB zum Zuge kommen müsse. Weiter bringt der Beschwerdeführer vor, die Zahlung der Fr. 350'000.-- habe keinen unrechtmässigen Vorteil für ihn bewirkt, da der Betrag - nach der eigenen Feststellung der Vorinstanz - eine Zahlung für gelieferte Uhren dargestellt habe. b) aa) Die in Frage stehenden Fr. 350'000.-- waren bereits dem Konto des Beschwerdeführers gutgeschrieben, als sie beschlagnahmt wurden, weshalb die Vorinstanz zu Recht von einem Anwendungsfall von Art. 58 Abs. 1 StGB ausging. Nach dieser Bestimmung wird die Einziehung der Vermögenswerte ohne Rücksicht auf die Strafbarkeit einer bestimmten Person verfügt. Voraussetzung ist jedoch immer, dass der Täter eine vom Gesetz mit Strafe bedrohte Tat begangen hat. Die Einziehung kann sich hingegen nicht nur gegen den Täter selber oder einen Teilnehmer richten, sondern unter Umständen auch gegen eine Drittperson, die einen Vorteil aus einem von einem anderen begangenen Delikt erlangt hat (GAUTHIER, in Lebendiges Strafrecht, Festgabe für Hans Schultz, Bern 1977, S. 369; SCHULTZ, AT II, S. 209; REHBERG, Strafrecht II, 3. Aufl., S. 85; vgl. auch STRATENWERTH, AT II, § 14 N. 76). Dies ergibt sich schon aus dem Wortlaut der Gesetzesbestimmung, insbesondere auch in seiner französischen Fassung ("Alors même qu'aucune personne déterminée n'est punissable, le juge prononcera ..."). Der Vermögensvorteil muss jedoch ein unrechtmässiger sein und die Einziehung zur Beseitigung dieses unrechtmässigen Vorteils als geboten erscheinen ( Art. 58 Abs. 1 lit. a StGB ). bb) Im vorliegenden Fall hat Y. durch den Verkauf der Betäubungsmittel eine vom Gesetz mit Strafe bedrohte Tat begangen. In der Folge überwies er den Erlös auf ein Konto des Beschwerdeführers. Dieser hat somit durch die Gutschrift auf seinem Konto BGE 115 IV 175 S. 179 einen Vorteil aus dem von Y. begangenen Betäubungsmittelhandel erlangt. Nach den verbindlichen Feststellungen der kantonalen Behörden stellte das beschlagnahmte Geld eine Gegenleistung für tatsächlich vom Beschwerdeführer in die Türkei gelieferte Uhren dar; weiter ist davon auszugehen, dass er nicht um die kriminelle Herkunft des Geldes wusste. Bei dieser Sachlage verhält es sich prinzipiell wie bei jedem Verkäufer, der einem von ihm nicht als solchen erkannten Drogenhändler einen Gegenstand verkauft, ohne zu wissen, dass das als Bezahlung entgegengenommene Geld aus dem Betäubungsmittelhandel stammt. Es ist ausgeschlossen, dass in derartigen Fällen das Geld, das als Bezahlung für eine tatsächlich erbrachte Leistung und ohne Kenntnis des kriminellen Hintergrundes entgegengenommen worden ist, vom Staat eingezogen werden könnte. Nach der Ansicht von STRATENWERTH und REHBERG endet die Unrechtmässigkeit des Vorteils durch den gutgläubigen Eigentumserwerb eines Dritten (STRATENWERTH, AT II, § 14 N. 56; REHBERG, Strafrecht II, S. 85); dies muss ohne Zweifel jedenfalls dann gelten, wenn der Erwerber wegen einer von ihm erbrachten Gegenleistung einen Anspruch auf das Erworbene hat. Es kann nicht Sinn und Zweck der Einziehung sein, in Rechte von Dritten einzugreifen, die einen Vermögenswert durch ein legales Rechtsgeschäft und ohne das Bewusstsein, er sei krimineller Herkunft, erworben haben. In einem solchen Fall kann von einem unrechtmässigen Vermögensvorteil nicht gesprochen werden. Indem die Vorinstanz den Geldbetrag von Fr. 350'000.-- mit der Bestimmung, dass er dem Staat verfalle, einzog, verletzte sie Bundesrecht. Ob bei einem nachgewiesenen Umgehungsgeschäft anders zu entscheiden wäre, kann offenbleiben, weil die Vorinstanz ein solches zumindest implizite ausgeschlossen hat. Weil der Geldbetrag bei Y., der durch ihn einen unrechtmässigen Vermögensvorteil erlangt hat und bei dem er einzuziehen wäre, nicht mehr vorhanden ist, wird allenfalls diesem gegenüber und im Verfahren gegen ihn eine Ersatzforderung des Staates gemäss Art. 58 Abs. 4 StGB festzulegen sein.</w:t>
      </w:r>
    </w:p>
    <w:p>
      <w:r>
        <w:rPr>
          <w:b/>
        </w:rPr>
        <w:t>E. 3</w:t>
      </w:r>
    </w:p>
    <w:p>
      <w:r>
        <w:t>Der Beschwerdeführer beantragt die Zusprechung eines Zinses auf den seit dem 14. Juni 1983 beschlagnahmten Fr. 350'000.--. Die Beschlagnahme dieses Vermögenswertes stellte eine vorläufige strafprozessuale Massnahme dar, die vom kantonalen Recht beherrscht wird. Soweit die Beschlagnahme nicht nur den Vermögenswert von Fr. 350'000.-- betroffen haben sollte, BGE 115 IV 175 S. 180 sondern überdies die daraus entstehenden laufenden Zinserträge, wären diese zusammen mit dem beschlagnahmten Betrag freizugeben. Im übrigen ist die Frage, ob und inwieweit dem Beschwerdeführer ein Zins zusteht, nach den Regeln betreffend Schadenersatz für nachträglich ungerechtfertigte strafprozessuale Massnahmen zu beurteilen. Diese Regeln ergeben sich nicht aus dem eidgenössischen materiellen Recht; vielmehr ist die Frage aufgrund des kantonalen Rechts, gegebenenfalls unter Rückgriff auf allgemeine Rechtsgrundsätze, zu prüfen. Das Zinsbegehren ist deshalb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