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144</w:t>
      </w:r>
    </w:p>
    <w:p>
      <w:r>
        <w:t>Bundesgericht (BGE), 1969-08-27, DE</w:t>
      </w:r>
    </w:p>
    <w:p>
      <w:r>
        <w:rPr>
          <w:b/>
        </w:rPr>
        <w:t xml:space="preserve">Quelle: </w:t>
      </w:r>
      <w:r>
        <w:t>https://mcp.opencaselaw.ch/entscheid/bge_BGE_115_IV_144</w:t>
      </w:r>
    </w:p>
    <w:p>
      <w:r>
        <w:t>FR: ATF 115 IV 144</w:t>
      </w:r>
    </w:p>
    <w:p>
      <w:r>
        <w:t>IT: DTF 115 IV 144</w:t>
      </w:r>
    </w:p>
    <w:p>
      <w:pPr>
        <w:pStyle w:val="Heading2"/>
      </w:pPr>
      <w:r>
        <w:t>Regeste</w:t>
      </w:r>
    </w:p>
    <w:p>
      <w:r>
        <w:t>Regeste Art. 12 Abs. 1, Art. 29 und 93 Ziff. 2 SVG, Art. 57 Abs. 1 und 4 VRV, Art. 22 Abs. 3, Art. 23 Abs. 1 lit. c und Art. 24 VVV, Art. 85 Abs. 1 der Verordnung über Bau und Ausrüstung der Strassenfahrzeuge vom 27. August 1969 (BAV). Auch wer durch den Kollektiv-Fahrzeugausweis berechtigt ist, an geprüften und nicht geprüften Fahrzeugen Händlerschilder anzubringen, muss - abgesehen von bestimmten Ausnahmen - die einschlägigen Bau- und Ausrüstungsvorschriften beachten. Als Probefahrt, bei der das Fahrzeug ausnahmsweise nicht in allen Teilen den Vorschriften entsprechen muss, gilt nur die zum Zwecke der Abklärung des Defektes und der Kontrolle der Behebung von Mängeln notwendige Fahrt.</w:t>
      </w:r>
    </w:p>
    <w:p>
      <w:r>
        <w:t>Regeste Art. 12 al. 1, art. 29 et 93 ch. 2 LCR, art. 57 al. 1 et 4 OCR, art. 22 al. 3, art. 23 al. 1 let. c et art. 24 OAV, art. 85 al. 1 de l'ordonnance sur la construction et l'équipement des véhicules routiers du 27 août 1969 (OCE). Même celui qui est autorisé à munir de plaques professionnelles de marchand des véhicules expertisés ou non, en vertu d'un permis de circuler collectif, doit, sauf exceptions bien déterminées, respecter les prescriptions en vigueur sur la construction et l'équipement des véhicules. N'est considérée comme course d'essai au cours de laquelle, à titre exceptionnel, le véhicule peut ne pas remplir toutes les exigences légales que la course nécessaire pour détecter des défauts ou pour en vérifier l'élimination.</w:t>
      </w:r>
    </w:p>
    <w:p>
      <w:r>
        <w:t>Regesto Art. 12 cpv. 1, art. 29 e 93 n. 2 LCS, art. 57 cpv. 1 e 4 ONCS, art. 22 cpv. 3, art. 23 cpv. 1 lett. c, art. 24 OAV, art. 85 cpv. 1 dell'ordinanza concernente la costruzione e l'equipaggiamento dei veicoli stradali, del 27 agosto 1969 (OCE). Anche chi è autorizzato a munire di targhe professionali di commerciante veicoli controllati o non controllati, in virtù di una licenza di circolazione collettiva, deve, salvo eccezioni ben determinate, rispettare le prescrizioni vigenti in materia di costruzione e di equipaggiamento dei veicoli. È considerata corsa di prova, durante la quale il veicolo non deve, a titolo eccezionale, essere conforme a tutte le prescrizioni, solo la corsa necessaria per accertare un difetto o per verificarne l'eliminazione.</w:t>
      </w:r>
    </w:p>
    <w:p>
      <w:pPr>
        <w:pStyle w:val="Heading2"/>
      </w:pPr>
      <w:r>
        <w:t>Erwägungen</w:t>
      </w:r>
    </w:p>
    <w:p>
      <w:r>
        <w:rPr>
          <w:b/>
        </w:rPr>
        <w:t>E. 2</w:t>
      </w:r>
    </w:p>
    <w:p>
      <w:r>
        <w:t>a) Die Beschwerdeführer machen geltend, ein noch nicht typengeprüftes Fahrzeug, das unter Verwendung von Händlerschildern erprobt werde, sei nicht vorschriftswidrig im Sinne von Art. 29 SVG , auch wenn nicht feststehe, dass die Lärm- und Abgasvorschriften schon vollumfänglich erfüllt würden. Die Vorinstanz hielt demgegenüber fest, auch mit einem Händlerschild versehene, nicht typengeprüfte Fahrzeuge müssten den gesetzlichen und insbesondere den Lärm- und Abgasvorschriften entsprechen. Hievon gebe es zwar Ausnahmen, für den vorliegenden Fall treffe aber keine solche zu. Den Beschwerdeführern sei bewusst gewesen, dass ihr Motorrad den in der Schweiz geltenden Vorschriften nicht entsprochen habe, weshalb sie zu Recht der Übertretung von Art. 93 Ziff. 2 SVG in Verbindung mit Art. 29 SVG schuldig gesprochen worden seien. b) Nach Art. 93 Ziff. 2 SVG wird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Gemäss Art. 85 Abs. 1 BAV gilt ein Fahrzeug auch dann als nicht vorschriftsgemäss, wenn dauernd, zeitweilig oder für bestimmte Fälle vorgeschriebene Teile, inbegriffen Breite-, Geschwindigkeits- oder Landeszeichen, fehlen oder den Vorschriften nicht entsprechen und wenn dauernd oder zeitweilig untersagte Teile, wie Reifen mit Metallstiften, vorhanden sind oder bewilligungspflichtige ohne Bewilligung angebracht wurden. Daraus ergibt sich, dass sich ein Fahrzeug immer dann in vorschriftswidrigem Zustand ( Art. 93 Ziff. 2 SVG ) befindet, wenn BGE 115 IV 144 S. 146 das Fahrzeug den massgebenden Bau- und Ausrüstungsvorschriften nicht entspricht (115 IV 150 E. 3a). Gemäss Art. 22 Abs. 3 VVV berechtigt der Kollektiv-Fahrzeugausweis zum Anbringen der darin genannten Händlerschilder an geprüften und nicht geprüften Fahrzeugen der im Ausweis genannten Art und zur Verwendung dieser Fahrzeuge im Verkehr nach Massgabe der nachfolgenden Bestimmungen. Der Dispens von der Prüfpflicht bedeutet aber nicht, dass auch die generelle gesetzliche Verpflichtung, die einschlägigen Bau- und Ausrüstungsvorschriften einzuhalten, entfällt. Dies kommt in der geltenden Regelung dadurch zum Ausdruck, dass der Kollektiv-Fahrzeugausweis nur an Personen und Unternehmungen abgegeben wird, welche die erforderlichen Fachkenntnisse und Einrichtungen besitzen, um selbst beurteilen zu können, ob das Fahrzeug den Vorschriften entspricht und betriebssicher ist. Da zudem auch für Führer, die Fahrzeuge mit Händlerschildern verwenden, die Verpflichtung des Art. 57 Abs. 1 VRV gilt, wonach jeder Führer sich vergewissern muss, dass das Fahrzeug in vorschriftsgemässem Zustand ist, kann aus der geltenden Regelung bezüglich Händlerschilder nicht geschlossen werden, mit dem Verzicht auf die amtliche Prüfung habe der Gesetzgeber auch von der Einhaltung der Ausrüstungsvorschriften dispensiert. Auch wenn die Erleichterung bei Fahrzeugen mit Händlerschildern sich grundsätzlich auf die Befreiung von der amtlichen Prüfpflicht beschränkt, und damit diese Fahrzeuge nur in vorschriftsgemässem Zustand verkehren dürfen, lässt die geltende Regelung Ausnahmen zu. Ausdrücklich festgehalten ist dies für Überführungsfahrten in Art. 57 Abs. 4 VRV . Nach dieser Bestimmung, die allgemein und nicht nur für Inhaber von Händlerschildern gilt, dürfen mit Motorfahrzeugen, die sich im Bau, Umbau oder in Reparatur befinden, Überführungsfahrten ausgeführt werden, wenn wenigstens Lenkung und Bremsen betriebssicher sind, ein Bremslicht vorhanden ist, bei Nacht oder schlechter Witterung die Beleuchtung den Vorschriften entspricht und kein übermässiger Lärm entsteht. Darüber hinaus ist es in der Praxis im Rahmen der in Art. 24 VVV zugelassenen Verwendungszwecke von Händlerschildern auch in anderen Fällen nicht immer möglich, den vorschriftsgemässen Zustand voll einzuhalten. Dies trifft insbesondere bei Erprobung von neuen Fahrzeugen durch Hersteller und Sachverständige zu, wobei als Sachverständige im Sinne dieser Bestimmung nicht nur die amtlichen Experten gelten, sondern alle Personen, BGE 115 IV 144 S. 147 die nach Art. 23 Abs. 1 lit. c VVV die nötigen fachlichen Kenntnisse und Erfahrungen zur Verwendung nicht geprüfter Fahrzeuge besitzen. Wenn der Gesetzgeber diese Verwendungsarten ausdrücklich zulässt, so nimmt er damit in Kauf, dass das Fahrzeug auf solchen Fahrten unter Umständen nicht in allen Teilen den Vorschriften entspricht. Dabei muss aber stets - analog den in Art. 57 Abs. 4 VRV enthaltenen Kautelen - gefordert werden, dass mindestens immer Lenkung und Bremsen betriebssicher sind und ein Bremslicht vorhanden ist, beziehungsweise bei Nacht oder schlechter Witterung die Beleuchtung den Vorschriften entspricht und kein übermässiger Lärm entsteht. Als Probefahrt, bei der das Fahrzeug ausnahmsweise nicht in allen Teilen den Vorschriften entsprechen muss, gilt aber nur die zum Zwecke der Abklärung des Defektes und der Kontrolle der Behebung von Mängeln notwendige Fahrt. Dies ist der Fall, wenn gewisse Funktionen sich nicht anders kontrollieren lassen, nicht aber dann, wenn es zur Abklärung des Defektes keiner Probefahrt bedarf ( BGE 106 IV 404 f. E. 4). c) Nach den verbindlichen Feststellungen der Vorinstanz ( Art. 277bis Abs. 1 BStP ) haben die Beschwerdeführer vom Mai 1986 bis August 1987 in der Schweiz mit dem fraglichen Motorrad mehrere tausend Kilometer zurückgelegt im Bewusstsein, dass es den in der Schweiz geltenden Vorschriften nicht entsprach. Mit dem Vorbringen, "sämtliche Motorräder, welche zur Zeit in die Schweiz eingeführt würden, benötigten zusätzliche Drosselungseinrichtungen zur Verminderung von Lärm und Abgasen", bestätigen sie indirekt diesen Sachverhalt. Ob für die Lärm- und Abgasmessung des Motorrades der Beschwerdeführer Probefahrten überhaupt notwendig waren, ist fraglich. Jedenfalls waren dazu nicht Fahrten von insgesamt mehreren tausend Kilometern erforderlich. Da somit kein hievor aufgezählter Ausnahmefall zutrifft, büsste die Vorinstanz die Beschwerdeführer zu Recht wegen Übertretung von Art. 93 Ziff. 2 in Verbindung mit Art. 29 SVG . Da die Beschwerdeführer nicht davon ausgehen, dass nur notwendige Fahrten mit einem Fahrzeug in vorschriftswidrigem Zustand zulässig sind, erweisen sich ihre Rügen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