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137</w:t>
      </w:r>
    </w:p>
    <w:p>
      <w:r>
        <w:t>Bundesgericht (BGE), 1989-01-01, DE</w:t>
      </w:r>
    </w:p>
    <w:p>
      <w:r>
        <w:rPr>
          <w:b/>
        </w:rPr>
        <w:t xml:space="preserve">Quelle: </w:t>
      </w:r>
      <w:r>
        <w:t>https://mcp.opencaselaw.ch/entscheid/bge_BGE_115_IV_137</w:t>
      </w:r>
    </w:p>
    <w:p>
      <w:r>
        <w:t>FR: ATF 115 IV 137</w:t>
      </w:r>
    </w:p>
    <w:p>
      <w:r>
        <w:t>IT: DTF 115 IV 137</w:t>
      </w:r>
    </w:p>
    <w:p>
      <w:pPr>
        <w:pStyle w:val="Heading2"/>
      </w:pPr>
      <w:r>
        <w:t>Regeste</w:t>
      </w:r>
    </w:p>
    <w:p>
      <w:r>
        <w:t>Regeste Anwendung des Ordnungsbussenverfahrens. Bedarf die Ermittlung des Täters bei unklarer bzw. bestrittener Täterschaft weiterer Untersuchungshandlungen, so ist dafür grundsätzlich nicht das Ordnungsbussen-, sondern das ordentliche Verfahren einzuschlagen.</w:t>
      </w:r>
    </w:p>
    <w:p>
      <w:r>
        <w:t>Regeste Procédure en matière d'amende d'ordre. Si la recherche de l'auteur nécessite une instruction, parce que l'identité de celui-ci n'est pas sûre ou qu'elle est contestée, c'est en principe la procédure ordinaire qui doit être suivie et non pas celle en matière d'amende d'ordre.</w:t>
      </w:r>
    </w:p>
    <w:p>
      <w:r>
        <w:t>Regesto Applicazione della procedura della multa disciplinare. Se la ricerca dell'autore della contravvenzione rende necessari atti istruttori perché la sua identità è incerta o contestata, va seguita, in linea di principio, la procedura ordinaria e non quella della multa disciplinare.</w:t>
      </w:r>
    </w:p>
    <w:p>
      <w:pPr>
        <w:pStyle w:val="Heading2"/>
      </w:pPr>
      <w:r>
        <w:t>Erwägungen</w:t>
      </w:r>
    </w:p>
    <w:p>
      <w:r>
        <w:rPr>
          <w:b/>
        </w:rPr>
        <w:t>E. 2</w:t>
      </w:r>
    </w:p>
    <w:p>
      <w:r>
        <w:t>a) Die vom Bundesrat gestützt auf Art. 3 Abs. 1 des Bundesgesetzes über Ordnungsbussen im Strassenverkehr vom 24. Juni 1970 (OBG; SR 741.03) bezeichneten Übertretungen sind grundsätzlich im Ordnungsbussenverfahren zu erledigen ( BGE 105 IV 139 E. 2). Art. 2 lit. b der Verordnung über Ordnungsbussen im Strassenverkehr vom 22. März 1972 (OBV; SR 741.031) bestimmt, dass die Polizeiorgane von einer Ordnungsbusse abzusehen haben, wenn dem Täter, der eine Übertretung im rollenden Verkehr begangen hat, der Sachverhalt nicht an Ort und Stelle vorgehalten werden kann; ausgenommen von dieser Regelung sind u.a. Geschwindigkeitsübertretungen (bis 15 km/h; vgl. BGE 105 IV 140 f. E. 4). b) Ordnungsbussen sind trotz ihrer Abhängigkeit von der Zustimmung des Täters echte Strafen; abgesehen davon, dass Vorleben und persönliche Verhältnisse nicht berücksichtigt werden, gelten die Grundsätze des Strafrechts; vor allem wird eine Schuld des Täters vorausgesetzt (BBl 1969 I/2 1093). Dass die Anwendung des Ordnungsbussenverfahrens dennoch zulässig sei, wird damit begründet, dass man es bei den in Betracht kommenden Tatbeständen durchwegs mit einem problemlosen Verschulden zu tun habe, das weitgehend im objektiven Sachverhalt zum Ausdruck komme; bei diesen Fällen erübrige es sich durchwegs, näher auf das Verschulden einzugehen (BBl 1969 I/2 1094). c) Hätte sich die Beschwerdeführerin in ihrer Einsprache darauf beschränkt, die Durchführung des Ordnungsbussenverfahrens zu verlangen, so hätte ihr ein Ordnungsbussen-Zettel mit Bedenkfrist gemäss Art. 7 OBV ausgestellt werden müssen. Die Beschwerdeführerin bestritt indessen ausdrücklich, das Fahrzeug im fraglichen Zeitpunkt gesteuert zu haben; ihre Behauptung, sie hätte eine BGE 115 IV 137 S. 139 allfällige Ordnungsbusse "wahrscheinlich bezahlt", steht damit im Widerspruch zu ihrem ganzen bisherigen Prozessverhalten. Die Täterschaft bezüglich der festgestellten Geschwindigkeitsüberschreitung war somit von Anfang an bestritten. Die ungeschmälerte Geltung der allgemeinen strafrechtlichen Grundsätze führt dazu, dass nur der Täter bzw. der Teilnehmer der Widerhandlung strafbar ist, nicht aber der Fahrzeughalter an dessen Stelle; es geht deshalb nicht an, jemanden ausschliesslich in seiner Eigenschaft als Halter des von der Radaranlage erfassten Fahrzeuges zur Rechenschaft zu ziehen und zu büssen ( BGE 102 IV 257 f. E. 2). Ist daher - wie hier - nicht klar, wer Täter der Geschwindigkeitsüberschreitung ist, so gebietet das Erfordernis eines Verschuldens die Ermittlung eines Täters, dem dieses zugewiesen werden kann. Dies ist - insbesondere wenn wie hier die beiden einzigen in Frage kommenden Personen nichts zur Klärung des Sachverhaltes beitragen - nicht mehr auf dem Wege des Ordnungsbussenverfahrens möglich, denn bei unklarer bzw. bestrittener Täterschaft liegt nicht mehr jenes problemlose Verschulden vor, welches noch im Ordnungsbussenverfahren - aus Gründen der Vereinfachung des Verfahrens bei zweifelsfrei feststellbaren Widerhandlungen - geahndet werden kann. Bedarf daher die Ermittlung des Täters weiterer Untersuchungshandlungen wie Einvernahmen usw., so ist dafür grundsätzlich das ordentliche Verfahren einzuschlagen. d) Indem die Vorinstanz im vorliegenden Fall die Ahndung der durch die Beschwerdeführerin begangenen Geschwindigkeitsüberschreitung im Strafbefehlsverfahren bzw. im ordentlichen Verfahren bestätigte, hat sie daher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