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111</w:t>
      </w:r>
    </w:p>
    <w:p>
      <w:r>
        <w:t>Bundesgericht (BGE), 1989-01-01, DE</w:t>
      </w:r>
    </w:p>
    <w:p>
      <w:r>
        <w:rPr>
          <w:b/>
        </w:rPr>
        <w:t xml:space="preserve">Quelle: </w:t>
      </w:r>
      <w:r>
        <w:t>https://mcp.opencaselaw.ch/entscheid/bge_BGE_115_IV_111</w:t>
      </w:r>
    </w:p>
    <w:p>
      <w:r>
        <w:t>FR: ATF 115 IV 111</w:t>
      </w:r>
    </w:p>
    <w:p>
      <w:r>
        <w:t>IT: DTF 115 IV 111</w:t>
      </w:r>
    </w:p>
    <w:p>
      <w:pPr>
        <w:pStyle w:val="Heading2"/>
      </w:pPr>
      <w:r>
        <w:t>Regeste</w:t>
      </w:r>
    </w:p>
    <w:p>
      <w:r>
        <w:t>Regeste Art. 224 StGB; Gefährdung durch Sprengstoffe. Der privilegierte Tatbestand von Abs. 2 dieser Bestimmung kann lediglich angewendet werden, wenn Eigentum in nur unbedeutendem Umfang betroffen worden ist; der Umstand allein, dass sich der Vorsatz des Täters auf Eigentum in unbedeutendem Umfang bezogen hat, genügt nicht, wenn tatsächlich eine weitergehende Gefährdung eingetreten ist.</w:t>
      </w:r>
    </w:p>
    <w:p>
      <w:r>
        <w:t>Regeste Art. 224 CP; mise en danger par l'emploi d'explosifs. Le cas plus favorable prévu au deuxième alinéa de cette disposition ne peut être retenu que si la propriété n'a été exposée qu'à un danger de peu d'importance; le fait que l'auteur n'avait l'intention d'exposer la propriété qu'à un danger de peu d'importance ne suffit pas, lorsqu'en réalité la mise en danger a été plus importante.</w:t>
      </w:r>
    </w:p>
    <w:p>
      <w:r>
        <w:t>Regesto Art. 224 CP; uso delittuoso di materie esplosive. La fattispecie privilegiata di cui al cpv. 2 di tale disposizione può essere ammessa solo se alla proprietà è derivato un danno di lieve importanza; la circostanza che l'agente abbia avuto l'intenzione di cagionare soltanto un danno di lieve importanza non basta, laddove in realtà sia derivato un danno maggiore.</w:t>
      </w:r>
    </w:p>
    <w:p>
      <w:pPr>
        <w:pStyle w:val="Heading2"/>
      </w:pPr>
      <w:r>
        <w:t>Erwägungen</w:t>
      </w:r>
    </w:p>
    <w:p>
      <w:r>
        <w:rPr>
          <w:b/>
        </w:rPr>
        <w:t>E. 2</w:t>
      </w:r>
    </w:p>
    <w:p>
      <w:r>
        <w:t>Für die erste Explosion verwendeten die Beteiligten einen Knallkörper, der nach Ansicht der Vorinstanz nicht unter Art. 224 StGB zu subsumieren ist, weshalb keine Straftat erfüllt worden sei. Die Staatsanwaltschaft beschränkt ihre Beschwerde auf die zweite in jener Nacht verursachte Explosion. Als Sprengkörper wurde dabei ein knapp 10 cm langes und mit dem Pulver von ca. 25 "Moog-Vogelschreckpatronen" gefülltes Metallröhrchen verwendet; das eine Ende des Röhrchens wurde in einem Schraubstock zusammengedrückt und mit einem kleinen Loch versehen, worin die Zündschnur befestigt wurde; am anderen, offenen Ende des Röhrchens wurde eine Schraubenmutter angebracht und das Pulver durch eine Schraube zusammengepresst. Dieser Sprengsatz wurde kurz nach drei Uhr morgens zwischen Sims und Rolladen des Balkonfensters angebracht. Die Explosion verbog den Rolladen, zertrümmerte die Fensterscheibe und zerstörte einen Teil des Wohnzimmermobiliars; ferner durchschlug das Metallröhrchen ein ebenfalls aus Metall bestehendes Balkongeländer wie ein Geschoss. Die Vorinstanz spricht von "einer regelrechten Explosion mit beträchtlichem Sachschaden".</w:t>
      </w:r>
    </w:p>
    <w:p>
      <w:r>
        <w:rPr>
          <w:b/>
        </w:rPr>
        <w:t>E. 3</w:t>
      </w:r>
    </w:p>
    <w:p>
      <w:r>
        <w:t>Nach Art. 224 Abs. 1 StGB wird mit Zuchthaus bestraft, wer vorsätzlich und in verbrecherischer Absicht durch Sprengstoffe oder giftige Gase Leib und Leben von Menschen oder fremdes Eigentum in Gefahr bringt; ist nur Eigentum in unbedeutendem BGE 115 IV 111 S. 113 Umfang gefährdet worden, so kann auf Gefängnis erkannt werden (Abs. 2). a) Die Vorinstanz ging davon aus, mit der Explosion sei beabsichtigt gewesen, Eigentum zu beschädigen, weshalb auch notwendigerweise eine konkrete Gefährdung fremden Eigentums bewirkt worden sei; im Vorgehen der beiden Haupttäter sei eine tatbestandsmässige Handlung und ein tatbestandsmässiger Erfolg i.S. von Art. 224 Abs. 1 StGB zu erblicken. In subjektiver Hinsicht sei es bei der zweiten Explosion nicht mehr bloss ums Erschrecken, sondern auch um die Sachbeschädigung gegangen, weshalb die verbrecherische Absicht i.S. von Art. 224 Abs. 1 StGB gegeben sei. Nachdem die Vorinstanz zunächst festgestellt hatte, es sei "eine regelrechte Explosion mit beträchtlichem Sachschaden" zu beurteilen und die Frage, ob Eigentum in geringem Umfang gefährdet worden sei, müsse "wohl verneint werden", erwog sie, es könne nicht allein auf den Erfolg der gefährdenden Handlung abgestellt werden; da der Täter nicht für den eingetretenen, sondern für den von ihm angestrebten Erfolg hafte und da die Beteiligten "vor allem" eine Fensterscheibe zerstören wollten, sei Art. 224 Abs. 2 StGB anzuwenden. b) Art. 224 StGB stellt ein konkretes Gefährdungsdelikt dar und setzt in beiden Absätzen objektiv voraus, dass durch Sprengstoff z.B. fremdes Eigentum konkret in Gefahr gebracht wurde. Solche Taten betrachtete der Gesetzgeber als gemeingefährlich, da bei der Anwendung von Sprengstoff der Umfang der Wirkung vom Täter nicht beherrscht werden könne (BBl 1924 I S. 593). Abs. 2 kann zum Zug kommen, wenn Eigentum "in unbedeutendem Umfang gefährdet worden" ist. Nach dem eindeutigen Wortlaut stellt die privilegierte Bestimmung auf den Erfolg der gefährdenden Handlung ab. Entscheidend für ihre Anwendung ist, dass bloss Eigentum in unbedeutendem Umfang betroffen wurde, mag sich die Gefährdung in einem Schaden verwirklicht haben oder nicht (JÖRG REHBERG, Die Sprengstoffdelikte des Schweizerischen Strafgesetzbuches, Kriminalistik 26/1972, S. 102). Das Bundesgericht hat denn auch festgestellt, Abs. 2 komme im Falle des Erfolgseintritts dann in Betracht, wenn die infolge der Verwendung von Sprengstoff eingetretenen Schäden geringfügig sind ( BGE 103 IV 244 oben). Dies ist nach der Annahme der Vorinstanz "wohl" nicht der Fall. Die kantonalen Richter stellten nun aber darauf ab, dass die Täter nur Eigentum in unbedeutendem Umfang gefährden wollten. BGE 115 IV 111 S. 114 Dieser Umstand allein kann nicht zur Anwendung von Art. 224 Abs. 2 StGB führen. Nach dem oben Gesagten ist die Grösse der Gefährdung, nicht aber die Intensität des Vorsatzes für die Anwendung der privilegierten Strafnorm entscheidend (ebenso ERNST HAFTER, Schweizerisches Strafrecht, BT II, Berlin 1943, S. 509). Zwar ist grundsätzlich jede Gefährdung von fremdem Eigentum durch Sprengstoff nach Art. 224 Abs. 1 StGB zu ahnden, sofern aber im konkreten Fall kein Eigentum in bedeutendem Umfang betroffen worden ist, steht es dem Richter nach seinem pflichtgemässen Ermessen frei, z.B. dann von der Kann-Vorschrift des Abs. 2 Gebrauch zu machen, wenn auch der Vorsatz des Täters nur auf diese geringfügige Gefährdung gerichtet war (REHBERG, a.a.O.); notwendige Bedingung ist allerdings immer, dass tatsächlich nur eine geringfügige Gefährdung bewirkt worden ist. Wenn die Vorinstanz dennoch den privilegierten Tatbestand von Art. 224 Abs. 2 StGB anwandte, obwohl sie feststellte, es sei "wohl" nicht nur eine geringfügige Gefährdung von fremdem Eigentum eingetreten, so verletzte sie Bundesrecht, weshalb die Nichtigkeitsbeschwerde der Staatsanwaltschaft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