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427</w:t>
      </w:r>
    </w:p>
    <w:p>
      <w:r>
        <w:t>Bundesgericht (BGE), 1989-01-01, FR</w:t>
      </w:r>
    </w:p>
    <w:p>
      <w:r>
        <w:rPr>
          <w:b/>
        </w:rPr>
        <w:t xml:space="preserve">Quelle: </w:t>
      </w:r>
      <w:r>
        <w:t>https://mcp.opencaselaw.ch/entscheid/bge_BGE_115_II_427</w:t>
      </w:r>
    </w:p>
    <w:p>
      <w:r>
        <w:t>FR: ATF 115 II 427</w:t>
      </w:r>
    </w:p>
    <w:p>
      <w:r>
        <w:t>IT: DTF 115 II 427</w:t>
      </w:r>
    </w:p>
    <w:p>
      <w:pPr>
        <w:pStyle w:val="Heading2"/>
      </w:pPr>
      <w:r>
        <w:t>Regeste</w:t>
      </w:r>
    </w:p>
    <w:p>
      <w:r>
        <w:t>Regeste 1. Ehescheidung; Zuweisung einer im Miteigentum der Ehegatten stehenden Liegenschaft; anwendbare Bestimmungen. Ist im Rahmen einer Scheidung die güterrechtliche Auseinandersetzung einmal durchgeführt, sind für die Zuweisung einer während der Ehe gegen Entgelt erworbenen Liegenschaft, die gemäss Grundbucheintrag je zur Hälfte im Miteigentum der Ehegatten steht, die Art. 650 und 651 ZGB anwendbar (Erw. 1e). 2. Dauer der Leistungspflicht bei einer Rente nach Art. 151 Abs. 1 ZGB. Die Rente muss für die Zeit zugesprochen werden, welche die geschiedene Ehefrau für die Wiedereingliederung in das Erwerbsleben voraussichtlich benötigen wird; wo die geschiedene Ehefrau bereits wieder in das Erwerbsleben eingegliedert ist, steht ihr die Rente jedenfalls für so lange zu, als die ihr zugeteilten Kinder einer umfassenden Fürsorge und Pflege bedürfen, d.h. in der Regel bis zum 16. Altersjahr des jüngsten Kindes (Erw. 5).</w:t>
      </w:r>
    </w:p>
    <w:p>
      <w:r>
        <w:t>Regeste 1. Divorce; règles applicables à l'attribution d'un immeuble dont les époux sont copropriétaires. En cas de divorce, une fois le régime matrimonial liquidé, les art. 650 et 651 CC sont applicables à l'attribution d'un immeuble acquis à titre onéreux pendant le mariage par les époux, qui en sont copropriétaires chacun pour une moitié selon l'inscription au registre foncier (consid. 1e). 2. Durée de la rente allouée en vertu de l'art. 151 al. 1 CC. La rente doit être allouée pour la durée prévisible de la réinsertion professionnelle de la femme divorcée; elle doit néanmoins être assurée, même si la femme est réinsérée professionnellement, aussi longtemps que les enfants qui ont été attribués à la mère ont besoin d'une éducation et de soins étendus, à savoir, généralement, jusqu'à la seizième année du plus jeune des enfants (consid. 5).</w:t>
      </w:r>
    </w:p>
    <w:p>
      <w:r>
        <w:t>Regesto 1. Divorzio; norme applicabili all'attribuzione di un immobile di cui i coniugi sono comproprietari. In caso di divorzio, liquidato il regime matrimoniale dei beni, gli art. 650 e 651 CC sono applicabili all'attribuzione di un immobile acquistato a titolo oneroso durante il matrimonio dai coniugi che, secondo l'iscrizione nel registro fondiario, ne sono comproprietari ciascuno in proporzione della metà (consid. 1e). 2. Durata della rendita accordata in virtù dell'art. 151 cpv. 1 CC. La rendita va accordata per la durata prevedibile del reinserimento professionale della moglie divorziata; essa va nondimeno accordata anche se l'ex-moglie è reinserita professionalmente, fintantoché i figli attribuitile necessitino di un'educazione e di un'assistenza estese, ossia, in generale, fino a che il figlio più giovane abbia compiuto il sedicesimo anno d'età (consid. 5).</w:t>
      </w:r>
    </w:p>
    <w:p>
      <w:pPr>
        <w:pStyle w:val="Heading2"/>
      </w:pPr>
      <w:r>
        <w:t>Erwägungen</w:t>
      </w:r>
    </w:p>
    <w:p>
      <w:r>
        <w:rPr>
          <w:b/>
        </w:rPr>
        <w:t>E. 1</w:t>
      </w:r>
    </w:p>
    <w:p>
      <w:r>
        <w:t>La recourante se plaint d'une violation des art. 195 aCC, 650 et 651 CC. Elle reproche à l'autorité cantonale d'avoir attribué l'immeuble conjugal suivant les règles du régime matrimonial au lieu de celles de la copropriété. a) En vertu de l' art. 9d al. 3 Tit.fin. CC , si un régime matrimonial est dissous par suite de l'admission d'une demande formée avant l'entrée en vigueur de la loi nouvelle, la liquidation a lieu conformément à la loi ancienne. La recourante ayant ouvert action le 10 octobre 1985, c'est avec raison que l'autorité cantonale a considéré que l'ancien droit était applicable, ce qui exclut, notamment, l'application de l'actuel art. 205 al. 2 CC . b) L'art. 195 al. 2 aCC dispose que le mari est propriétaire de ses apports et de tous les autres biens matrimoniaux qui ne sont pas des apports de la femme. Selon la jurisprudence, tout ce qui ne remplit pas les conditions strictes posées par la loi pour BGE 115 II 427 S. 430 l'appartenance à une autre masse appartient plutôt aux acquêts; lorsqu'un immeuble a été acquis pendant le mariage, à titre onéreux, par la femme et inscrit à son nom au registre foncier, il peut en résulter, pendant le mariage, une disjonction entre la qualification matrimoniale de l'immeuble et son statut de droit réel; c'est pourquoi la jurisprudence a rangé dans les apports pendant le mariage un immeuble ainsi acquis; toutefois, à la dissolution de l'union des biens, il est pris en compte pour le partage du bénéfice comme s'il appartenait aux acquêts ( ATF 112 II 476 /477 consid. 3b). Dans cet arrêt, le Tribunal fédéral ne s'est toutefois pas prononcé sur l'attribution de l'immeuble, une fois le régime matrimonial liquidé, notamment sur la question de savoir s'il y avait alors lieu de tenir compte du statut réel de l'immeuble. e) (...) Dans l'arrêt précité, le Tribunal fédéral a certes réservé la solution de la question qui ne lui était pas posée (p. 476, dernier alinéa). Mais il a rappelé que la qualification d'acquêts dans la liquidation du régime provoquait pendant l'union une disjonction entre cette qualification d'un immeuble et son statut réel; c'est pourquoi, dans l' ATF 97 II 289 ss, il avait rangé - par une extension de la notion - dans les apports pendant le mariage un immeuble acquis à titre onéreux par la femme, qui reste sa propriété ("Danach bleibt zwar die Zuordnung des entsprechenden Vermögenswertes zum Eigentum der Ehefrau bestehen: p. 476 al. 2 et 477 lit. c). Mais déjà dans l' ATF 74 II 147 /48, où il s'agissait de la plus-value acquise par un immeuble acheté par la femme, il l'imputait sur la part du bénéfice revenant au propriétaire, à l'acquéreur, en l'occurrence l'épouse qui conservait l'immeuble ["dem Eigentümer", "dem Erwerber (hier die Ehefrau, die diese Liegenschaft behält)"]. Dans un arrêt rendu le 29 novembre 1951 en la cause Waltisperger (RNRF 1954, p. 319 ss), il a confirmé que l'inscription de la femme au registre foncier comme propriétaire fait présumer son droit ( art. 937 CC ). Cette prédominance du statut réel - notamment par la qualification d'apport - hors le calcul du bénéfice de l'union conjugale est la solution classique en doctrine (cf. PIOTET, JT 1987 I 606/607, RNRF 1982, p. 257 ss); seul est critiqué le traitement de l'acquisition onéreuse de la femme dans la liquidation du régime et pour ledit calcul. Au reste, en cas de divorce, chacun des époux reprend son patrimoine personnel, "quel qu'ait été le régime matrimonial" (art. 154 al. 1 aCC; cf. aussi art. 189 al. 1 aCC). BGE 115 II 427 S. 431 HAUSHERR (Grundeigentum und Ehescheidung aus zivilrechtlicher Sicht, in RNRF 1984, p. 265 ss) explique d'abord comment, pour une acquisition des fiancés en vue du mariage, mais sans propriété commune, l'acquisition de l'immeuble se fait en accord tant avec les droits réels qu'avec les règles du régime matrimonial (p. 266-268 ch. 3 let. a). Puis il traite la difficulté née de la disjonction des statuts lorsque l'immeuble est acquis pendant le mariage (p. 268-270 ch. 4 let. b), en posant deux principes appliqués au cas où la femme est inscrite au registre foncier. Dans les rapports juridiques avec des tiers, mais aussi entre époux, la propriété de la femme telle qu'elle résulte du registre foncier doit être reconnue, la réglementation réelle n'étant pas remise en cause par le droit des régimes matrimoniaux. Dans la liquidation du régime matrimonial, en revanche, l'immeuble doit être compté dans les acquêts dans la mesure où des plus-values ou des moins-values sont intervenues. La femme n'est donc pas renvoyée seulement à une participation, mais peut, au contraire, se réclamer de l'inscription au registre foncier de la propriété. L'espèce présente deux particularités. Il y a d'abord lieu à récompense pour l'emploi de biens réservés de la femme (11'950 francs): c'est une question de régime matrimonial, de caractère obligatoire, comme la participation au bénéfice. En outre, l'immeuble a été acquis par les époux en copropriété, par parts égales. Un lien social s'ajoutait à leur union, lien qu'il faut dénouer (HAUSHEER, op.cit., p. 269/270 ch. 5). Les art. 650 et 651 CC sont donc applicables. Dans la mesure où la recourante a pris, dans sa demande en justice du 10 octobre 1985, des conclusions tendant à ce qu'elle soit déclarée seule propriétaire de l'immeuble conjugal, elle a ainsi conclu au partage de la copropriété. Pour avoir considéré que les dispositions sur ce partage n'étaient pas applicables, l'autorité cantonale n'a pas statué sur ces conclusions. Il y a dès lors lieu de lui renvoyer la cause pour qu'elle se prononce à ce sujet. Elle examinera si les conditions prévues par l' art. 650 CC sont réalisées; le cas échéant, elle se prononcera sur le mode de partage, conformément à l' art. 651 CC ; au besoin, elle ordonnera la vente de l'immeuble avec répartition subséquente du prix.</w:t>
      </w:r>
    </w:p>
    <w:p>
      <w:r>
        <w:rPr>
          <w:b/>
        </w:rPr>
        <w:t>E. 5</w:t>
      </w:r>
    </w:p>
    <w:p>
      <w:r>
        <w:t>A titre subsidiaire, l'intimé critique la durée de la rente qu'il a été astreint à verser à son épouse jusqu'au 31 janvier 1995, à savoir jusqu'à ce que les enfants aient respectivement 20 et 18 ans. Il se réfère à l' ATF 111 II 305 ss et estime qu'il n'y a pas de motif BGE 115 II 427 S. 432 que la rente soit allouée au-delà du 1er janvier 1993, date à laquelle le plus jeune de ses enfants aura 16 ans. Cette limitation se justifie d'autant plus que son épouse n'a que 40 ans, est réinsérée professionnellement et jouit d'une bonne santé; en outre les enfants n'ont plus besoin de sa présence constante. Selon la jurisprudence, pour fixer la durée de la rente, le juge doit tenir compte de la durée du mariage, de la gravité de la faute de l'époux débirentier, de l'âge et de l'état de santé de l'époux crédirentier, sa formation, sa situation financière et la situation économique en général, de même que la possibilité pour cet époux de retrouver une activité lucrative totale ou partielle. Mais la rente doit être assurée à tout le moins aussi longtemps que les enfants attribués à la mère ont besoin d'une éducation et de soins étendus - à savoir, généralement, jusqu'à la seizième année du plus jeune des enfants - et pour la durée présumable de la réinsertion professionnelle de l'épouse ( ATF 111 II 306 et la jurisprudence citée). L'autorité cantonale ne s'est pas prononcée clairement sur les motifs qui l'ont conduite à allouer la rente jusqu'à ce que les enfants aient respectivement 20 et 18 ans. Il semble toutefois ressortir de son arrêt que seuls les âges ont joué un rôle. De ce point de vue, l'arrêt attaqué est certes critiquable. L'autorité cantonale eût dû examiner, au regard de l'ensemble des critères posés par la jurisprudence, la durée prévisible de la réinsertion professionnelle de l'épouse et fixer la durée de la rente en conséquence, cette dernière devant néanmoins être assurée, même si l'épouse est réinsérée professionnellement, aussi longtemps que les enfants qui ont été attribués à la mère ont besoin d'une éducation et de soins étendus, à savoir, généralement, jusqu'à la seizième année du plus jeune des enfants. L'intimé méconnaît donc le sens de la jurisprudence lorsqu'il estime qu'il ne se justifie pas d'allouer la rente au-delà de la date à laquelle le plus jeune de ses enfants aura 16 ans, sans égard à la durée de la réinsertion professionnelle de son épouse. En l'espèce, le mariage a duré plus de 15 ans et l'échec de l'union est imputable à la faute prépondérante du mari. L'épouse, âgée de 40 ans, bénéficie d'une formation de nurse. Elle est certes déjà partiellement réinsérée professionnellement et l'on peut attendre d'elle qu'elle augmente le nombre de ses veilles. Sa capacité de gain n'est cependant que de l'ordre de 2'500 francs par mois selon les constatations de l'arrêt déféré. En outre, même si ses enfants n'ont BGE 115 II 427 S. 433 plus besoin de sa présence constante, ils restent à sa charge. L'allocation d'une rente, de 500 francs par mois, jusqu'au 31 janvier 1995 apparaît dès lors nécessaire pour lui permettre de se réinsérer complètement sur le plan professionnel. A cette date, les enfants auront plus de seize ans, de sorte que la question d'une éventuelle allocation de la rente au-delà du 31 janvier 1995 ne se pose pas en l'espèce. Le moyen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