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309</w:t>
      </w:r>
    </w:p>
    <w:p>
      <w:r>
        <w:t>Bundesgericht (BGE), 1989-01-01, DE</w:t>
      </w:r>
    </w:p>
    <w:p>
      <w:r>
        <w:rPr>
          <w:b/>
        </w:rPr>
        <w:t xml:space="preserve">Quelle: </w:t>
      </w:r>
      <w:r>
        <w:t>https://mcp.opencaselaw.ch/entscheid/bge_BGE_115_II_309</w:t>
      </w:r>
    </w:p>
    <w:p>
      <w:r>
        <w:t>FR: ATF 115 II 309</w:t>
      </w:r>
    </w:p>
    <w:p>
      <w:r>
        <w:t>IT: DTF 115 II 309</w:t>
      </w:r>
    </w:p>
    <w:p>
      <w:pPr>
        <w:pStyle w:val="Heading2"/>
      </w:pPr>
      <w:r>
        <w:t>Regeste</w:t>
      </w:r>
    </w:p>
    <w:p>
      <w:r>
        <w:t>Regeste Abänderung des Scheidungsurteils; Anpassung einer Scheidungsrente nach Massgabe der seit der Scheidung eingetretenen Teuerung (Art. 153 ZGB). 1. Soweit eine Scheidungsrente Unterhalts- oder Unterhaltsersatzcharakter hat, kann sie nachträglich in dem Masse der eingetretenen Teuerung angepasst werden, als das Einkommen des Unterhaltspflichtigen mit der Teuerung Schritt gehalten hat (E. 1 und 2a). 2. Wo das ordentliche Einkommen sich auf die AHV-Rente beschränkt, der Unterhaltspflichtige jedoch über Vermögen verfügt, ist auch diesem Rechnung zu tragen; dabei verstösst es grundsätzlich nicht gegen Bundesrecht, hauptsächlich bei Immobilien einen durchschnittlichen Kapitalzins zu ermitteln, vorausgesetzt, dass kein übersetzter Zinssatz gewählt wird (E. 3a und 3b); die nachträgliche teuerungsbedingte Anpassung der Rente darf in einem solchen Fall nicht dazu führen, dass der Pflichtige genötigt wird, das von ihm bewohnte Haus zu veräussern (E. 3c). 3. Dem Abänderungsrichter ist es verwehrt, die Anpassung der Rente von den wirtschaftlichen Verhältnissen der Berechtigten oder von anderen Umständen abhängig zu machen, die der Scheidungsrichter bei der Festsetzung einer Rente zu berücksichtigen hätte (E. 4).</w:t>
      </w:r>
    </w:p>
    <w:p>
      <w:r>
        <w:t>Regeste Modification du jugement de divorce; adaptation d'une rente en proportion du renchérissement intervenu depuis le divorce (art. 153 CC). 1. Dans la mesure où une rente a le caractère d'une contribution d'entretien ou est destinée à compenser la perte du droit à l'entretien, elle peut être adaptée postérieurement en proportion du renchérissement intervenu lorsque le revenu du débiteur a suivi l'augmentation du coût de la vie (consid. 1 et 2a). 2. Lorsque le revenu ordinaire est limité à la rente AVS mais que le débiteur dispose d'une fortune, il faut aussi en tenir compte. Sur ce point, il n'est en principe pas contraire au droit fédéral de déterminer un intérêt moyen sur le capital, surtout s'il s'agit d'immeubles, à condition que l'on ne choisisse pas un taux d'intérêt excessif (consid. 3a et 3b) et que l'adaptation ultérieure de la rente au renchérissement ne contraigne pas le débiteur à aliéner la maison qu'il habite (consid. 3c). 3. Le juge de l'action en modification ne peut pas faire dépendre l'adaptation de la rente de la situation économique du créancier ou d'autres circonstances que le juge du divorce devrait prendre en considération pour la fixation de la rente (consid. 4).</w:t>
      </w:r>
    </w:p>
    <w:p>
      <w:r>
        <w:t>Regesto Modifica della sentenza di divorzio; adeguamento di una rendita in proporzione del rincaro intervenuto dopo il divorzio (art. 153 CC). 1. Nella misura in cui una rendita ha la funzione di contribuire al mantenimento o è destinata a compensare la perdita del diritto al mantenimento, essa può essere adeguata posteriormente in proporzione del rincaro, sempreché il reddito del debitore abbia seguito l'aumento del costo della vita (consid. 1, 2a). 2. Ove il reddito ordinario si limiti alla rendita AVS ma il debitore disponga di sostanza, va tenuto conto anche di quest'ultima; in tale ipotesi, il fatto di stabilire un interesse medio sul capitale, specialmente se si tratti d'immobili, non viola, in linea di principio, il diritto federale, a condizione che non venga scelto un saggio d'interesse eccessivo (consid. 3a, b); in questo caso, l'adeguamento successivo della rendita al rincaro non deve avere come conseguenza di obbligare il debitore ad alienare la casa da lui abitata (consid. 3c). 3. Al giudice competente per l'azione di modifica non è consentito di far dipendere l'adeguamento della rendita alla situazione economica del creditore o da altre circostanze che il giudice del divorzio era tenuto a considerare per determinare la rendita (consid. 4).</w:t>
      </w:r>
    </w:p>
    <w:p>
      <w:pPr>
        <w:pStyle w:val="Heading2"/>
      </w:pPr>
      <w:r>
        <w:t>Erwägungen</w:t>
      </w:r>
    </w:p>
    <w:p>
      <w:r>
        <w:rPr>
          <w:b/>
        </w:rPr>
        <w:t>E. 1</w:t>
      </w:r>
    </w:p>
    <w:p>
      <w:r>
        <w:t>Wie das Kantonsgericht zutreffend festhält, ist nach der in BGE 100 II 245 ff. begründeten Rechtsprechung die Indexierung einer Unterhalts- oder Unterhaltsersatzrente im Sinne von Art. 152 bzw. 151 ZGB auch gegen den Willen des Rentenverpflichteten zulässig, wenn die bestimmte Aussicht besteht, dass dessen Einkommen der Teuerung laufend angeglichen wird ( BGE 100 II 253 ). In BGE 105 II 171 E. 3b hat das Bundesgericht sodann entschieden, dass diese Rechtsprechung sinngemäss ebenso für eine nachträglich anbegehrte Anpassung der Rente an die Teuerung gelten müsse; auch in diesem Fall werde keine nach Art. 153 Abs. 2 ZGB verpönte nachträgliche materielle Erhöhung der Rente vorgenommen, sondern diese lediglich wertmässig, im Vergleich zur Kaufkraft, auf derselben Höhe gehalten. Voraussetzung ist auch hier, dass sich das Einkommen des Pflichtigen seit der Scheidung der Teuerung angepasst hat...</w:t>
      </w:r>
    </w:p>
    <w:p>
      <w:r>
        <w:rPr>
          <w:b/>
        </w:rPr>
        <w:t>E. 2</w:t>
      </w:r>
    </w:p>
    <w:p>
      <w:r>
        <w:t>a) Dass die Rente, die der Klägerin vom erstinstanzlichen Scheidungsrichter ausdrücklich sowohl gestützt auf Art. 151 als auch gestützt auf Art. 152 ZGB zuerkannt, vom Kantonsgericht ... im Urteil vom 27. April 1967 wie auch vom Bundesgericht im Urteil vom 18. Dezember 1967 jedoch als Unterhaltsbeitrag gemäss Art. 151 ZGB bezeichnet wurde, vorwiegend dem Unterhaltsersatz dienen sollte, ist nicht mehr streitig. Das Kantonsgericht stellt fest, dass die Rente nur zu einem kleinen Teil als Ersatz für verlorene Anwartschaften gedacht gewesen sei. Zu prüfen ist dagegen, ob das Einkommen des Beklagten sich seit der Scheidung der Teuerung angepasst habe. Sollte dies nur beschränkt der Fall gewesen sein, wäre die Klage entgegen der Auffassung des Beklagten nicht einfach abzuweisen, sondern eben nur teilweise gutzuheissen. b) Das Kantonsgericht hat zur strittigen Frage festgehalten, dass das vom Beklagten im Zeitpunkt der Scheidung erzielte Einkommen bei Berücksichtigung der Teuerung Ende 1987 dem Betrag von Fr. 73'165.90 entsprochen hätte. Sodann weist die Vorinstanz darauf hin, dass der 1915 geborene Beklagte als AHV-Rentner gemäss den Steuerunterlagen praktisch kein Einkommen erziele, jedoch über erhebliches Vermögen verfüge; es liege ein atypischer Fall vor, bei dem neben dem Renteneinkommen auch der Vermögensertrag des Pflichtigen in die Beurteilung miteinzubeziehen sei. Dabei gehe es nicht an, einfach auf den in den Steuerunterlagen BGE 115 II 309 S. 313 ausgewiesenen Ertrag abzustellen, sondern es sei von einem durchschnittlichen, bei gewöhnlicher Vermögensanlage erzielbaren Betrag, mit andern Worten von dem auszugehen, was der Beklagte bei produktiver Verwendung des Vermögens normalerweise erzielen könnte. Das Kantonsgericht hat ausdrücklich festgehalten, dass diese Berechnungsart nicht ein doloses Verhalten des Pflichtigen voraussetze. Für die Ermittlung des Einkommens aus Vermögen hat es einen durchschnittlichen Zinssatz von 4,5% als angemessen betrachtet; ein solcher sei auch heute, ohne spekulieren zu müssen, erzielbar. Für Darlehen, die der Beklagte den beiden Kindern ... zu Vorzugszinsen gewährt hat, ging das Kantonsgericht allerdings von den effektiven Zinserträgen aus, welche die Klägerin an Schranken ausdrücklich anerkannt habe. Ausserdem setzte die Vorinstanz bezüglich der vom Beklagten bewohnten Liegenschaft, die einen Steuerwert von Fr. 218'000.-- aufweise und mit Fr. 100'000.-- hypothekarisch belastet sei, den Eigenmietwert von Fr. 11'200.-- ein; von einer Verzinsung des Nettobetrags (von Fr. 118'000.--) zu 4,5% sei in diesem Fall abzusehen. c) Den gesamten Vermögensertrag des Beklagten bezifferte das Kantonsgericht auf Fr. 55'528.--, was zusammen mit der derzeitigen AHV-Rente von Fr. 18'000.-- ein massgebliches Jahreseinkommen von Fr. 73'528.-- ergebe. Diese Summe liegt über dem Betrag von Fr. 73'165.90, den es durch eine Aufwertung nach Massgabe der Teuerung als Einkommen des Beklagten im Zeitpunkt der Scheidung ermittelt hat. Dennoch hat die Vorinstanz die Rente nicht in dem von der Klägerin verlangten Umfang angepasst; statt der geforderten Fr. 1'950.-- im Monat, sprach sie der Klägerin lediglich Fr. 1'500.-- zu. Sie hat dafürgehalten, dass aus Gründen der Billigkeit auch die wirtschaftliche Lage der Klägerin und weitere Umstände einzubeziehen seien, so vor allem die seit der Scheidung verstrichene Zeit, die Tatsache, dass die Klägerin keinen Anspruch auf Beibehaltung des gleichen Lebensstandards wie in der Ehe habe, und dass sie aus der Sicht ihres Alters nach der neuesten bundesgerichtlichen Rechtsprechung nicht mehr ohne weiteres mit einer Dauerrente hätte rechnen können. Ferner hat die Vorinstanz berücksichtigt, dass die in Frage stehende Rente nicht ausschliesslich Unterhaltsersatz darstellt und dass andererseits der Beklagte sein erhöhtes Einkommen nicht mehr aus aktiver Arbeit erziele, sondern dass sich dieses hauptsächlich aus dem Vermögensertrag ergebe. All diese Umstände lassen nach Auffassung des Kantonsgerichts im vorliegenden - atypischen - Fall BGE 115 II 309 S. 314 eine gewisse Zurückhaltung bei der Festsetzung des neuen Rentenbetrags als angebracht erscheinen.</w:t>
      </w:r>
    </w:p>
    <w:p>
      <w:r>
        <w:rPr>
          <w:b/>
        </w:rPr>
        <w:t>E. 3</w:t>
      </w:r>
    </w:p>
    <w:p>
      <w:r>
        <w:t>a) Mit seiner Berufung verlangt der Beklagte in grundsätzlicher Hinsicht, dass bei der Ermittlung seines Vermögensertrags nicht von hypothetischen, sondern von den tatsächlichen Einkünften ausgegangen werde; auf ein hypothetisches Einkommen dürfe bei der nachträglichen Indexierung einer Rente nur dann abgestellt werden, wenn es der Pflichtige absichtlich unterlasse, einen angemessenen Vermögensertrag zu erzielen; davon könne vorliegend keine Rede sein. Abgesehen davon, entspreche sein tatsächlich erzielter Vermögensertrag einer durchaus produktiven Verwendung des Vermögens. Im Rahmen einer Klage auf nachträgliche Indexierung der Scheidungsrente könnten nicht andere Massstäbe angelegt werden als diejenigen, die beim Scheidungsprozess Anwendung gefunden hätten, würde doch andernfalls der Grundsatz verletzt, dass die nachträgliche Indexierung nur bei vollem Teuerungsausgleich verfügt werden dürfe. Im Zeitpunkt der Urteilsfällung habe sein Einkommen nur Fr. 48'989.-- (bzw. gemäss der vom Beklagten persönlich eingereichten Eingabe vom 2. März 1989 Fr. 49'957.--) betragen. Damit sei die Voraussetzung für eine Anpassung nicht gegeben. b) Es liegt hier in der Tat insofern ein besonderer Fall vor, als das ordentliche Einkommen des Beklagten sich auf die AHV-Rente beschränkt, der Beklagte jedoch über ein gewisses Vermögen verfügt. Bezüglich der wirtschaftlichen Leistungsfähigkeit des rentenpflichtigen Beklagten ist bei dieser Sachlage einzig von Belang, ob und in welchem Masse sie mit der seit der Scheidung eingetretenen Teuerung Schritt gehalten habe. Dazu bedarf es keiner exakten Ermittlung der Einnahmen, und es kann auch nicht darum gehen, abzuklären, ob und wie der Beklagte grössere Einkünfte erzielen könnte. Dass sein Vermögen in die Beurteilung der Abänderungsklage einzubeziehen ist, anerkennt auch der Beklagte selbst. Hingegen beanstandet er das Vorgehen der Vorinstanz, die - abgesehen von zwei Abweichungen bezüglich des Wohnhauses, wo sie auf den Eigenmietwert abgestellt hat, und der den beiden Kindern gewährten Darlehen - den Vermögensertrag in der Weise ermittelt hat, dass sie von einer einheitlichen Verzinsung zu 4,5% ausging. Eine Verletzung von Bundesrecht liegt darin nicht. Das Vermögen des Beklagten besteht zu einem nicht unbedeutenden Teil aus Immobilien (Wohnhaus ..., Ferienhaus ... und Wald ...), deren Ertrag zu BGE 115 II 309 S. 315 bestimmen angesichts ihrer Verschiedenartigkeit nicht einfach ist. Die vom Kantonsgericht gewählte Methode - Ermittlung eines durchschnittlichen Kapitalzinses - erscheint für einen Fall der vorliegenden Art grundsätzlich als angemessen, sofern dieser Rechnung kein übersetzter Zinssatz zugrunde gelegt wird. Die hier eingesetzten 4,5% mögen sich zwar an der oberen Grenze bewegen, doch ist andererseits darauf hinzuweisen, dass die Vorinstanz nicht vom effektiven Wert der Liegenschaften ausgegangen ist, sondern vom viel tieferen Steuerwert. Dem Einwand des Beklagten, das Kantonsgericht hätte den Zins für die auf dem Wohnhaus lastende Hypothek (den der Beklagte ebenfalls mit 4,5% angibt) in Abzug bringen müssen, ist entgegenzuhalten, dass die Vorinstanz die Schuldenlast von Anfang an abgezogen und den Ertrag nur auf dem Netto-Vermögen errechnet hat. Zudem ist für das Wohnhaus ohnehin der Eigenmietwert eingesetzt worden. Was der Beklagte mit Bezug auf das bewegliche Vermögen - in tatsächlicher Hinsicht - vorbringt (Auslagen für den Sohn C.; keine einheitliche Wahl des massgeblichen Zeitpunkts bei der Ermittlung des Vermögensstandes), findet im angefochtenen Entscheid keine Stütze und kann hier deshalb nicht gehört werden. Unbegründet ist von vornherein die Rüge betreffend den Zeitpunkt, den das Kantonsgericht für die Prüfung der wirtschaftlichen Verhältnisse des Beklagten grundsätzlich als massgeblich erachtet hat. Dem Abstellen auf die Lage bei Einleitung der Klage steht jedenfalls von Bundesrechts wegen nichts entgegen (dazu BÜHLER/SPÜHLER, N. 79 zu Art. 153 ZGB ; HINDERLING, Das schweizerische Ehescheidungsrecht, Zusatzband zur 3. Auflage, S. 91); die vorinstanzliche Lösung ist im übrigen durchaus sachgerecht. c) Wo die Leistungsfähigkeit des Unterhaltspflichtigen - wie hier - zu einem bedeutenden Teil auf dem Vermögen beruht, darf die nachträgliche teuerungsbedingte Anpassung der Rente nicht dazu führen, dass der Verpflichtete genötigt wird, die Liegenschaft zu veräussern, die er selbst bewohnt. In Anbetracht der Zusammensetzung des Vermögens ist dies beim Beklagten nicht der Fall.</w:t>
      </w:r>
    </w:p>
    <w:p>
      <w:r>
        <w:rPr>
          <w:b/>
        </w:rPr>
        <w:t>E. 4</w:t>
      </w:r>
    </w:p>
    <w:p>
      <w:r>
        <w:t>a) Wie bereits erwähnt, hat die Vorinstanz die Rente nicht in dem von der Klägerin verlangten Mass erhöht. Unter Berufung auf BGE 105 II 171 E. c führt sie aus, dass auch die nachträgliche Indexierung sich nach Recht und Billigkeit zu richten habe; es seien deshalb sowohl die wirtschaftlichen Verhältnisse der Klägerin BGE 115 II 309 S. 316 wie auch weitere Umstände in die Beurteilung miteinzubeziehen. An der erwähnten Stelle hat das Bundesgericht wohl festgehalten, die (nachträgliche) Indexierung entspreche - auch - einem Gebot der Billigkeit. Indessen hat es in diesem Zusammenhang einzig darauf hingewiesen, dass die Kaufkraft der der geschiedenen Ehefrau zugesprochenen Rente seit der Scheidung auf ungefähr die Hälfte gesunken sei, während das Einkommen des Unterhaltsverpflichteten sich beinahe verdoppelt habe. Dass im Rahmen einer Rentenanpassung zur ausschliesslichen Erhaltung der Kaufkraft, auch etwa die wirtschaftlichen Verhältnisse der Rentenberechtigten (neu) zu würdigen oder noch andere Umstände in die Beurteilung einzubeziehen wären, hat das Bundesgericht dagegen nicht gesagt. Es ginge denn in der Tat nicht an, dass der Abänderungsrichter in einem Fall der vorliegenden Art den Rentenanspruch dem Grundsatze nach neu überprüfen würde. Wegen Verbesserung der wirtschaftlichen Verhältnisse auf seiten des Berechtigten kann eine auf Art. 151 ZGB beruhende Unterhaltsrente im übrigen ohnehin nicht herabgesetzt werden (vgl. BGE 110 II 114 f. E. b mit Hinweisen). Entgegen der Ansicht des Kantonsgerichts ist nach dem Gesagten insbesondere auch ohne Belang, dass eine geschiedene Frau nicht Anspruch auf Beibehaltung des ehelichen Lebensstandards habe, dass nach der heutigen Praxis eine Frau, die im Zeitpunkt der Scheidung 45 Jahre alt ist, nicht ohne weiteres Anspruch auf eine zeitlich unbegrenzte Rente habe und dass seit der Scheidung der Ehe der Parteien 20 Jahre verstrichen sind. b) Einziger Grund, die der Klägerin vom Scheidungsrichter zugesprochene Rente nicht in vollem Masse der eingetretenen Teuerung anzupassen, ist der Umstand, dass mit ihr zu einem - kleineren - Teil Anwartschaften abgegolten werden sollen. Dieser Tatsache hat die Klägerin bereits in ihrem Klagebegehren Rechnung getragen, indem sie statt der Erhöhung der Rente auf Fr. 2'203.80 (wie eine volle Anpassung sie nach den vorinstanzlichen Feststellungen ergeben würde) eine Heraufsetzung auf lediglich Fr. 1'950.-- im Monat verlangt hat. Dass und inwiefern mit diesem Abzug dem Umstand nicht ausreichend Rechnung getragen worden wäre, dass die Rente zum Teil als Anwartschaftsersatz gedacht war, und dass eine in diesem Punkt vollumfängliche Gutheissung der Klage Bundesrecht verletzen sollte, macht der Beklagte nicht geltend. Hingegen hat die Vorinstanz insofern gegen Bundesrecht verstossen, als sie die oben angeführten sachfremden BGE 115 II 309 S. 317 Kriterien in die Beurteilung miteinbezogen hat. Die Klägerin hat somit Anspruch auf die Anpassung der Rente in dem von ihr beantragten Umfang. Ihre Berufung ist demnach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