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246</w:t>
      </w:r>
    </w:p>
    <w:p>
      <w:r>
        <w:t>Bundesgericht (BGE), 1989-01-01, DE</w:t>
      </w:r>
    </w:p>
    <w:p>
      <w:r>
        <w:rPr>
          <w:b/>
        </w:rPr>
        <w:t xml:space="preserve">Quelle: </w:t>
      </w:r>
      <w:r>
        <w:t>https://mcp.opencaselaw.ch/entscheid/bge_BGE_115_II_246</w:t>
      </w:r>
    </w:p>
    <w:p>
      <w:r>
        <w:t>FR: ATF 115 II 246</w:t>
      </w:r>
    </w:p>
    <w:p>
      <w:r>
        <w:t>IT: DTF 115 II 246</w:t>
      </w:r>
    </w:p>
    <w:p>
      <w:pPr>
        <w:pStyle w:val="Heading2"/>
      </w:pPr>
      <w:r>
        <w:t>Regeste</w:t>
      </w:r>
    </w:p>
    <w:p>
      <w:r>
        <w:t>Regeste Arbeitsvertrag; Anspruch der Witwe des Arbeitnehmers gegenüber der Personalfürsorgestiftung auf den Anteil am freien Stiftungsvermögen. Da der Anteil am freien Stiftungsvermögen grundsätzlich ebenfalls dem Stiftungszweck, hier dem Vorsorgegedanken, untersteht, fällt die Liquidationszahlung aus dem freien Stiftungsvermögen ebenfalls an den "dannzumal berechtigten Destinatär" gemäss dem Stiftungsreglement und nicht in die Erbmasse des Arbeitnehmers. Dass der Verteilungsplan behördlich genehmigt wurde, der Erstdestinatär jedoch vor der Auszahlung verstorben ist, vermag hieran nichts zu ändern (E. 2).</w:t>
      </w:r>
    </w:p>
    <w:p>
      <w:r>
        <w:t>Regeste Contrat de travail; prétention de la veuve du travailleur contre la fondation de prévoyance en faveur du personnel à la part du fonds de prévoyance libre. Etant donné que la part au fonds de prévoyance libre est en principe également subordonnée au but de la fondation, en l'espèce la prévoyance, le paiement provenant de la liquidation du fonds de prévoyance libre revient également au destinataire désigné par le règlement de la fondation et non à la masse successorale du travailleur. Le fait que le plan de répartition ait été approuvé par l'autorité mais que le premier destinataire soit toutefois décédé avant le paiement n'y change rien (consid. 2).</w:t>
      </w:r>
    </w:p>
    <w:p>
      <w:r>
        <w:t>Regesto Contratto di lavoro; diritto della vedova del lavoratore nei confronti della fondazione di previdenza a favore del personale alla quota del patrimonio libero della fondazione. Dato che anche la quota del patrimonio libero di una fondazione è soggetta allo scopo della fondazione, nella fattispecie a quello della previdenza, il pagamento risultante dalla liquidazione del patrimonio libero spetta anch'esso all'"allora destinatario avente diritto" secondo il regolamento della fondazione, e non alla massa ereditaria del lavoratore. Il fatto che il piano di ripartizione sia stato approvato dall'autorità, ma che il primo destinatario sia deceduto prima del pagamento non cambia nulla a tale norma (consid. 2).</w:t>
      </w:r>
    </w:p>
    <w:p>
      <w:pPr>
        <w:pStyle w:val="Heading2"/>
      </w:pPr>
      <w:r>
        <w:t>Erwägungen</w:t>
      </w:r>
    </w:p>
    <w:p>
      <w:r>
        <w:rPr>
          <w:b/>
        </w:rPr>
        <w:t>E. 1</w:t>
      </w:r>
    </w:p>
    <w:p>
      <w:r>
        <w:t>Entscheidend für den Ausgang des vorliegenden Verfahrens ist die Frage, ob der Anteil am sogenannten "freien Stiftungsvermögen", der durch den behördlich genehmigten Verteilungsplan dem Destinatär G. zugesprochen worden ist, nach dessen Tod in seine Erbmasse gefallen ist oder an die Beklagte als Ersatz- Destinatärin. Bezüglich des Sparkapitals hat das Bundesgericht bereits entschieden, es liege zwischen G. als Promissar und der Stiftung als Promittentin ein Vertrag zugunsten Dritter gemäss Art. 112 Abs. 2 OR vor. Die Beklagte habe dadurch einen selbständigen, von ihrer Erbenstellung unabhängigen Anspruch erworben. Damit sei es aber auch unzulässig, gestützt auf Art. 5 des Reglementes eine Gegenforderung zur Verrechnung zu stellen. Wer sich wie die Personalfürsorgestiftung zugunsten eines Dritten verpflichtet habe, könne diese Verbindlichkeiten nicht mit Forderungen BGE 115 II 246 S. 249 gegen den Promissar verrechnen ( Art. 122 OR ; BGE 111 II 168 E. 2a). Die Klägerin macht zutreffend geltend, das Schicksal des freien Stiftungsvermögens sei durch diesen Entscheid über das Sparkapital nicht präjudiziert. Diese Frage bleibt im folgenden zu prüfen.</w:t>
      </w:r>
    </w:p>
    <w:p>
      <w:r>
        <w:rPr>
          <w:b/>
        </w:rPr>
        <w:t>E. 2</w:t>
      </w:r>
    </w:p>
    <w:p>
      <w:r>
        <w:t>Als freies Stiftungsvermögen bezeichnet man jenen Teil des Stiftungsvermögens, der nicht durch die Forderungen der Destinatäre gebunden ist. Es entsteht durch Mutationsgewinne, Verzinsung und freiwillige Zuwendungen (RIEMER, Das Recht der beruflichen Vorsorge in der Schweiz, N. 31 zu § 5; Reglement der Personalfürsorgestiftung der Anlagebank Zürich, Art. 24). Auch das freie Stiftungsvermögen untersteht indessen dem Stiftungszweck, wie er hier in Art. 1 des Reglements umschrieben ist. Es dient im vorliegenden Fall also der Fürsorge für die Arbeitnehmer der Stifterfirma sowie zur Gewährung von Unterstützungen an deren Witwen und Kinder beim Tod des Arbeitnehmers. Ferner können daraus Zahlungen an Nichtversicherte oder deren Hinterlassene ausgerichtet werden; schliesslich dient es zur Ausgleichung allfälliger Verluste der Stiftung und zur Bestreitung von Verwaltungskosten (Reglement, Art. 25). a) Während das Sparkapital der Destinatäre mit Ausnahme von einzelbestimmten Fällen dem Verbot der Barauszahlung unterliegt, also nur an andere Vorsorgeinstitutionen ausbezahlt werden darf ( Art. 30 BVG ; Art. 331c OR ), unterliegen Auszahlungen aus dem freien Stiftungsvermögen dieser Einschränkung nicht, weil es sich nicht um Leistungen aus individuellem Guthaben im Sinne von Art. 331a und 331b OR handelt. Dass die Übertragung auf eine andere Vorsorgeeinrichtung wünschbar bleibt, ändert hieran nichts (RIEMER, N. 28 und 33 zu § 5). Bei der Auflösung der Stiftung kann das freie Stiftungsvermögen demnach in Kapitalform unter die Destinatäre der Stiftung aufgeteilt werden (RIEMER, N. 33 zu § 5; Reglement, Art. 27). b) Der entsprechende Verteilungsplan ist am 29. November 1979 behördlich genehmigt worden. Der dabei vorgesehene Anteil am freien Stiftungsvermögen des Destinatärs G. gelangte jedoch nicht zur Auszahlung, weil G. in der Zwischenzeit verstarb. Die Klägerin will daraus ableiten, dass die Liquidationszahlung der Stiftung in die Erbmasse von G. falle. Wie bereits erwähnt, untersteht indessen auch das sogenannte freie Stiftungsvermögen dem Stiftungszweck und damit dem BGE 115 II 246 S. 250 Vorsorgegedanken. Die Liquidationszahlung aus dem freien Stiftungsvermögen bildet somit ebenfalls eine Vorsorgeleistung. Der "dannzumal berechtigte Destinatär" gemäss Art. 12 der Stiftungsurkunde, dessen Anwendung von der Klägerin auch vor Bundesgericht ausdrücklich zugestanden wird, kann daher nur jemand sein, für den der Vorsorgegedanke zutrifft. Mit dem Hinschied von G. fiel der Anspruch auf Auszahlung des aus dem Stiftungsvermögen entstandenen Betreffnisses deshalb nicht in die Erbmasse, sondern an die ihm als Destinatärin nachfolgende Witwe. Was die Klägerin hiegegen ausführt, vermag nicht zu überzeugen. Vor allem macht sie unter Hinweis auf BGE 111 II 169 E. 2b geltend, wegen des fehlenden Barauszahlungsverbotes für das freie Stiftungsvermögen sei dieses aus dem Vorsorgezweck entlassen. Das erwähnte Urteil betrifft indessen die in Art. 331c Abs. 4 OR besonders aufgezählten Barzahlungsfälle, die nicht vom Vorsorgegedanken getragen sind. Hievon ist der vorliegende Fall zu unterscheiden, bei welchem grundsätzlich ein Vorsorgefall eingetreten ist (BGE BGE 112 II 40 f. E. 4). Dass diesfalls für das freie Stiftungsvermögen etwas anderes gelten solle als für das Sparkapital, lässt sich dem von der Klägerin zitierten Bundesgerichtsentscheid nicht entnehmen. Auch ist es unerheblich, ob das in bar ausbezahlte Kapital dem Vorsorgezweck entwendet werden könnte. Aus diesem Umstand lässt sich nicht ableiten, dass dieses Geld nicht als Vorsorgeleistung bestimmt ist und die entsprechenden Regeln keine Anwendung finden. Entscheidend ist im Gegenteil einzig, dass der den Destinatären zustehende Teil am Liquidationsvermögen nach dem Stiftungszweck beim Ausfall eines Destinatärs wiederum Destinatären der Stiftung zufallen soll. Nach dem Ableben des Arbeitnehmers als Erstdestinatär treten nun aber dessen Angehörige - hier die Witwe - als Destinatäre ein (vgl. auch SCHWEIZER, Rechtliche Grundlage der Anwartschaft auf eine Stiftungsleistung in der beruflichen Vorsorge, Diss. Zürich 1985, S. 37). c) An diesem Ergebnis vermag auch nichts zu ändern, dass der auf G. entfallende Anteil am freien Stiftungsvermögen im Verteilungsplan festgelegt und dieser noch vor dem Tod von G. behördlich genehmigt worden ist. Der Verteilungsplan dient den Liquidatoren lediglich als Instrument zur Verteilung des freien Stiftungsvermögens. Er verschafft den Destinatären jedoch keinen Leistungsanspruch, es sei denn, er werde den Destinatären vorbehaltlos im Sinne einer Leistungszusicherung eröffnet (MANHART, Die BGE 115 II 246 S. 251 Aufhebung mit Liquidation von Stiftungen, insbesondere von Personalfürsorgestiftungen, Diss. Zürich 1986, S. 161). Dass letzteres der Fall gewesen sei, hat die Vorinstanz für das Bundesgericht verbindlich verneint. G. hat deshalb zu Lebzeiten keinen festen Leistungsanspruch erworben, der anschliessend in die Erbmasse gefallen ist. Unter diesen Umständen besteht somit kein Anlass, den auf G. entfallenden Anteil am freien Stiftungsvermögen hinsichtlich der Anspruchsberechtigung anders zu behandeln als sein Sparkapital.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