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97</w:t>
      </w:r>
    </w:p>
    <w:p>
      <w:r>
        <w:t>Bundesgericht (BGE), 1989-01-01, DE</w:t>
      </w:r>
    </w:p>
    <w:p>
      <w:r>
        <w:rPr>
          <w:b/>
        </w:rPr>
        <w:t xml:space="preserve">Quelle: </w:t>
      </w:r>
      <w:r>
        <w:t>https://mcp.opencaselaw.ch/entscheid/bge_BGE_115_III_97</w:t>
      </w:r>
    </w:p>
    <w:p>
      <w:r>
        <w:t>FR: ATF 115 III 97</w:t>
      </w:r>
    </w:p>
    <w:p>
      <w:r>
        <w:t>IT: DTF 115 III 97</w:t>
      </w:r>
    </w:p>
    <w:p>
      <w:pPr>
        <w:pStyle w:val="Heading2"/>
      </w:pPr>
      <w:r>
        <w:t>Regeste</w:t>
      </w:r>
    </w:p>
    <w:p>
      <w:r>
        <w:t>Regeste Art. 81 Abs. 1 SchKG; Einwendung der Tilgung gegenüber einem Rechtsöffnungsgesuch, das sich auf eine richterliche Verpflichtung zur Leistung von Unterhaltsbeiträgen gemäss Art. 145 ZGB stützt. Es ist nicht willkürlich, wenn der Rechtsöffnungsrichter gestützt auf ein vollstreckbares gerichtliches Urteil betreffend Leistung von Unterhaltsbeiträgen nach Art. 145 ZGB die definitive Rechtsöffnung gewährt, obwohl der Schuldner durch Urkunden nachweisen kann, dass er in früheren Monaten mehr geleistet hat als das, wozu er im betreffenden Urteil verpflichtet worden ist. Damit ist nur die Zahlung urkundlich nachgewiesen, nicht aber, dass der Schuldner im entsprechenden Umfang eine verrechenbare Gegenforderung erworben hat (E. 4a-c). Die Tilgung familienrechtlicher Unterhaltsansprüche durch Verrechnung setzt eine Berechnung der konkreten unverrechenbaren Quote dieser Ansprüche voraus. Werden mehreren Personen Unterhaltsbeiträge geschuldet, so muss überdies urkundlich feststehen, für wen die zur Verrechnung gestellten früheren Mehrbeträge bestimmt waren (Verrechnungsverbot nach Art. 125 Ziff. 2 OR; E. 4d).</w:t>
      </w:r>
    </w:p>
    <w:p>
      <w:r>
        <w:t>Regeste Art. 81 al. 1 LP; exception d'extinction de la dette opposée à une requête de mainlevée d'opposition fondée sur une condamnation judiciaire au versement de prestations d'entretien selon l'art. 145 CC. Il n'est pas arbitraire de prononcer la mainlevée définitive de l'opposition sur la base d'un jugement exécutoire relatif au versement de prestations d'entretien selon l'art. 145 CC, alors même que le débiteur peut prouver par titre que, dans les mois précédents, il a versé plus que ce à quoi il a été astreint par ledit jugement. Ce n'est que le paiement qui est ainsi prouvé par titre, mais non le fait que le débiteur a acquis dans la même mesure une créance compensable (consid. 4a-c). L'extinction par compensation de créances d'entretien du droit de la famille suppose une prise en compte des quote-parts concrètes non compensables de ces prestations. Lorsque plusieurs personnes sont redevables de prestations d'entretien, il doit être établi par titre à qui étaient destinés les montants fournis antérieurement en trop aux fins de compensation (prohibition de compensation selon l'art. 125 ch. 2 CO; consid. 4d).</w:t>
      </w:r>
    </w:p>
    <w:p>
      <w:r>
        <w:t>Regesto Art. 81 cpv. 1 LEF; eccezione d'estinzione del debito opposta a una domanda di rigetto dell'opposizione fondata su di una condanna giudiziaria al versamento ai contributi di mantenimento ai sensi dell'art. 145 CC. Non è arbitrario accordare il rigetto definitivo dell'opposizione in base ad una sentenza giudiziaria esecutiva concernente il versamento di contributi di mantenimento ai sensi dell'art. 145 CC, benché il debitore possa provare con documenti che, nel corso dei mesi precedenti, ha versato più di quanto dovesse secondo tale sentenza. Provato con documenti è invero solo il pagamento, ma non il fatto che il debitore abbia acquistato in misura corrispondente un credito compensabile (consid. 4a-c). L'estinzione per compensazione di crediti per il mantenimento fondati sul diritto di famiglia presuppone che sia stato tenuto conto delle quote concrete non compensabili di tali crediti. Ove i contributi di mantenimenti siano dovuti a più persone, va inoltre provato con documenti a chi fossero destinati gli importi versati in troppo precedentemente e addotti in compensazione (esclusione della compensazione secondo l'art. 125 n. 2 CO; consid. 4d).</w:t>
      </w:r>
    </w:p>
    <w:p>
      <w:pPr>
        <w:pStyle w:val="Heading2"/>
      </w:pPr>
      <w:r>
        <w:t>Erwägungen</w:t>
      </w:r>
    </w:p>
    <w:p>
      <w:r>
        <w:rPr>
          <w:b/>
        </w:rPr>
        <w:t>E. 3</w:t>
      </w:r>
    </w:p>
    <w:p>
      <w:r>
        <w:t>Beruht die Forderung auf einem vollstreckbaren Urteil einer Behörde des Bundes oder desjenigen Kantons, in welchem die Betreibung angehoben worden ist, so wird die Rechtsöffnung gewährt, wenn nicht der Betriebene durch Urkunden beweist, dass die Schuld seit Erlass des Urteils getilgt oder gestundet worden ist, oder er die Verjährung anruft ( Art. 81 Abs. 1 SchKG ). a) Die Beschwerdegegnerin hat im Rechtsöffnungsverfahren einen rechtskräftigen Entscheid des Obergerichts des Kantons Luzern vorgelegt, in welchem der Beschwerdeführer für die Dauer des Scheidungsverfahrens zu monatlichen Unterhaltsbeiträgen von insgesamt Fr. 4'300.-- verpflichtet worden ist. Die in Betreibung gesetzte Beitragsforderung für den Monat Juni 1988 im Betrage von Fr. 2'400.-- beruht daher unbestrittenermassen auf einem vollstreckbaren gerichtlichen Urteil im Sinne von Art. 81 Abs. 1 SchKG . Unbestritten ist auch, dass der Beschwerdeführer Zahlungsbelege vorgelegt hat, wonach er bis Ende April 1988 insgesamt Fr. 7'226.-- mehr an die Beschwerdegegnerin bezahlt hat als das, wozu er durch das obergerichtliche Urteil verpflichtet worden ist. Strittig ist hingegen, ob der Beschwerdeführer mit den entsprechenden Zahlungsbelegen den Urkundenbeweis gemäss Art. 81 Abs. 1 SchKG für die Tilgung der in Betreibung gesetzten Forderung erbracht hat. BGE 115 III 97 S. 100 b) Das Obergericht hat diesen Urkundenbeweis als nicht erbracht erachtet. Es ist davon ausgegangen, ein Schuldner, der behaupte, die in Betreibung gesetzte Forderung sei durch Verrechnung untergangen, müsse durch Urkunden den Bestand einer Gegenforderung beweisen. Hiefür genüge nur eine Urkunde, die ihrerseits zur definitiven oder provisorischen Rechtsöffnung berechtige. Zudem müsse aus der Urkunde die Höhe der Forderung hervorgehen. Aus den vom Beschwerdeführer vorgelegten Urkunden ergebe sich indes lediglich, dass er gewisse Mehrleistungen erbracht habe. Ob ihm deswegen aber auch eine Gegenforderung zustehe, sei urkundlich nicht belegt.</w:t>
      </w:r>
    </w:p>
    <w:p>
      <w:r>
        <w:rPr>
          <w:b/>
        </w:rPr>
        <w:t>E. 4</w:t>
      </w:r>
    </w:p>
    <w:p>
      <w:r>
        <w:t>Diese Urteilsbegründung hält jedenfalls vor dem Willkürvorwurf stand. Nach ausdrücklicher Gesetzesvorschrift darf der Richter im Rechtsöffnungsverfahren die Einrede der Tilgung nur anerkennen, wenn dafür der Urkundenbeweis erbracht wird. Sofern die Tilgung auf die Verrechnung mit einer Gegenforderung gestützt wird, muss nach Lehre und Rechtsprechung die Gegenforderung des Schuldners ihrerseits durch ein gerichtliches Urteil im Sinne von Art. 81 Abs. 1 SchKG oder durch eine vorbehaltlose Anerkennung der Gegenpartei belegt sein (FRITZSCHE/WALDER, Schuldbetreibung und Konkurs nach schweizerischem Recht, N 20 zu § 19; GESSLER, Scheidungsurteile als definitive Rechtsöffnungstitel, SJZ 83/1987, S. 257; PANCHAUD/CAPREZ, Die Rechtsöffnung, § 144 Ziff. 3). Es entspricht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d.h. mit völlig eindeutigen Urkunden, entkräftet werden ( BGE 104 Ia 15 ; BGE 102 Ia 367 ). Dies gilt gerade auch für familienrechtliche Unterhaltsforderungen, die im materiellen Recht und im Vollstreckungsrecht in verschiedener Hinsicht privilegiert sind ( BGE 104 Ia 16 ). a) Der Beschwerdeführer vertritt den Standpunkt, bei den Unterhaltsleistungen habe es sich um Akontozahlungen gehandelt, die unter dem Vorbehalt einer definitiven Abrechnung erfolgt seien, in der selbstverständlichen Meinung, dass je nach Ausgang des Rechtsmittelverfahrens eine Rückzahlung bzw. Verrechnung zu erfolgen habe. Es sei willkürlich und überspitzt, wenn das Obergericht einen ausdrücklichen Vorbehalt bei den jeweiligen Zahlungen verlange. BGE 115 III 97 S. 101 b) Es mag zutreffen, dass der Beschwerdeführer mit der Anfechtung des amtsgerichtlichen Entscheides vom 1. Mai 1987 gegenüber der Beschwerdegegnerin klar zu verstehen gegeben hat, in welchem Umfang er die Beiträge vorbehaltlos zu bezahlen bereit sei. Dies hilft dem Beschwerdeführer jedoch nicht weiter. Er übersieht, dass damit der erforderliche Urkundenbeweis für den Bestand seiner Gegenforderung nicht geleistet ist. Wie das Obergericht zutreffend ausgeführt hat, beschränkt sich sein Urkundenbeweis auf den Nachweis, dass er gegenüber der im rechtskräftigen Obergerichtsentscheid festgelegten Alimentenverpflichtung gewisse Mehrleistungen erbracht hat. Ob er dadurch auch eine Gegenforderung erworben hat, ist durch die Urkunden hingegen nicht abgedeckt. Die Auffassung des Beschwerdeführers, wonach es sich bei seinen Beitragsleistungen um Akontozahlungen unter dem Vorbehalt der Abrechnung bzw. Rückzahlung gehandelt habe, setzt vielmehr eine freie richterliche Würdigung der gesamten Sachlage voraus. Welche Bedeutung den vom Beschwerdeführer erbrachten Leistungen materiellrechtlich zukommt, ist denn auch umstritten. Während der Beschwerdeführer sinngemäss behauptet, durch seine Mehrleistungen sei eine Forderung aus ungerechtfertigter Bereicherung entstanden, die nun zur Verrechnung gestellt werde, beruft sich die Beschwerdegegnerin darauf, der Beschwerdeführer habe freiwillig eine Nichtschuld bezahlt, die gemäss Art. 63 OR nicht zurückgefordert werden könne. Zudem sei die Zahlung in Erfüllung einer sittlichen Pflicht erfolgt. Diesem Standpunkt hält der Beschwerdeführer wiederum entgegen, er habe sich in einem entschuldbaren Irrtum befunden. Über solch heikle materiellrechtliche Fragen hat der Rechtsöffnungsrichter indessen nicht zu befinden. Die Entscheidung dieser Fragen ist vielmehr dem Sachrichter vorbehalten ( BGE 113 III 9 unten sowie 86). Dasselbe gilt für die Behauptung des Beschwerdeführers, das Verhalten der Beschwerdegegnerin sei rechtsmissbräuchlich und verstosse gegen Treu und Glauben. Denn auch die Beantwortung dieser Frage setzt eine Beurteilung der materiellen Rechtslage voraus. c) Nichts anderes ergibt sich aus BGE 113 III 86 . Das Bundesgericht hat dort zunächst das Erfordernis erwähnt, dass im Verfahren der definitiven Rechtsöffnung bei der Einrede der Tilgung der Forderung durch Verrechnung die Gegenforderung des Schuldners durch Urkunden nachgewiesen werden müsse. Unmittelbar BGE 115 III 97 S. 102 daran anschliessend hat es allerdings festgehalten, jedenfalls unter dem beschränkten Gesichtswinkel der Willkür sei es haltbar, wenn der Schuldner durch Urkunden lediglich die Zahlung durch einen Dritten nachweise, im übrigen aber sonstwie dartue, dass dadurch ein ihm zustehender Anspruch ins Vermögen des Anspruchsberechtigten übergegangen sei. Hieraus ergibt sich jedoch nichts für den vorliegenden Fall. Entscheidend war in BGE 113 III 86 nämlich, dass sich der Schuldner auf eine Gesetzesvorschrift berufen konnte, nach deren klarem Wortlaut durch die urkundlich nachgewiesene Zahlung ein Anspruch des Unterhaltsschuldners in das Vermögen der Unterhaltsgläubigerin übergegangen war. Das Bundesgericht erachtete es daher nicht als willkürlich, dass der kantonale Rechtsöffnungsrichter die Anrechnung der betreffenden Zahlung auf die Unterhaltsverpflichtung anerkannt hatte. Im Unterschied dazu kann der Beschwerdeführer im vorliegenden Fall keine Gesetzesbestimmung anführen, welche die Anrechenbarkeit seiner Mehrleistungen auf die nunmehr geschuldeten Unterhaltsbeiträge bestätigen würde. d) Überdies beruft sich die Beschwerdegegnerin auf das Verrechnungsverbot in Art. 125 Ziff. 2 OR . Nach dieser Gesetzesbestimmung können Verpflichtungen gegen den Willen des Gläubigers nicht durch Verrechnung getilgt werden, wenn deren besondere Natur die tatsächliche Erfüllung an den Gläubiger verlangt, wie Unterhaltsansprüche und Lohnguthaben, die Zum Unterhalte des Gläubigers und seiner Familie unbedingt erforderlich sind. Erst nach einer Berechnung der konkreten unverrechenbaren Quote stünde somit fest, ob es dem Beschwerdeführer freistand, von den für den Monat Juni 1988 geschuldeten Unterhaltsbeiträgen von Fr. 4'300.-- den beachtlichen Betrag von Fr. 2'400.-- durch Verrechnung zu tilgen. Hinzu kommt, dass der Wortlaut der betreffenden Gesetzesbestimmung zumindest nicht ganz eindeutig ist (vgl. BGE 88 II 311 f.; VON TUHR/ESCHER, Allgemeiner Teil des Schweizerischen Obligationenrechts, Anm. 76 zu § 78). Ferner müsste feststehen, mit welchen Unterhaltsforderungen verrechnet werden soll. Bekanntlich schuldet der Beschwerdeführer nicht nur der Beschwerdegegnerin, sondern auch den beiden Kindern bestimmte Unterhaltsbeiträge. Da der Beschwerdeführer jeweils nur einen Gesamtbetrag überwiesen hat, müssen seine Mehrleistungen somit vorerst auf die Forderungen der Kinder und der Beschwerdegegnerin aufgeteilt werden, um die jeweiligen BGE 115 III 97 S. 103 Mehrbeträge anschliessend mit den entsprechenden Unterhaltsforderungen zu verrechnen. Dies geht indessen ebenso wie die Berechnung der unverrechenbaren Quote entschieden über die Prüfungsbefugnis des Rechtsöffnungsrichters hinaus (vgl. hierzu BGE 111 II 108 ).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