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91</w:t>
      </w:r>
    </w:p>
    <w:p>
      <w:r>
        <w:t>Bundesgericht (BGE), 1988-04-25, DE</w:t>
      </w:r>
    </w:p>
    <w:p>
      <w:r>
        <w:rPr>
          <w:b/>
        </w:rPr>
        <w:t xml:space="preserve">Quelle: </w:t>
      </w:r>
      <w:r>
        <w:t>https://mcp.opencaselaw.ch/entscheid/bge_BGE_115_III_91</w:t>
      </w:r>
    </w:p>
    <w:p>
      <w:r>
        <w:t>FR: ATF 115 III 91</w:t>
      </w:r>
    </w:p>
    <w:p>
      <w:r>
        <w:t>IT: DTF 115 III 91</w:t>
      </w:r>
    </w:p>
    <w:p>
      <w:pPr>
        <w:pStyle w:val="Heading2"/>
      </w:pPr>
      <w:r>
        <w:t>Regeste</w:t>
      </w:r>
    </w:p>
    <w:p>
      <w:r>
        <w:t>Regeste Art. 56 Ziff. 3, 63 und 83 Abs. 2 SchKG. Sieht das kantonale Recht gegen den Rechtsöffnungsentscheid ein ordentliches Rechtsmittel vor und fällt das Ende der Rechtsmittelfrist in die Betreibungsferien, ist Art. 63 SchKG anwendbar (Bestätigung der Rechtsprechung); Auswirkungen auf die Frist zur Aberkennungsklage (Art. 83 Abs. 2 SchKG).</w:t>
      </w:r>
    </w:p>
    <w:p>
      <w:r>
        <w:t>Regeste Art. 56 chiff. 3, 63 et 83 al. 2 LP. Lorsque le droit cantonal prévoit une voie de recours ordinaire contre la décision de mainlevée de l'opposition et que la fin du délai pour recourir coïncide avec un jour des féries, l'art. 63 LP est applicable (confirmation de la jurisprudence); effets sur le délai pour intenter action en libération de dette (art. 83 al. 2 LP).</w:t>
      </w:r>
    </w:p>
    <w:p>
      <w:r>
        <w:t>Regesto Art. 56 n. 3, 63 e 83 cpv. 2 LEF. Ove il diritto cantonale preveda un rimedio giuridico ordinario contro la decisione di rigetto dell'opposizione e la scadenza del termine per ricorrere abbia luogo durante le ferie, è applicabile l'art. 63 LEF (conferma della giurisprudenza); effetti sul termine per l'azione d'inesistenza di debito (art. 83 cpv. 2 LEF).</w:t>
      </w:r>
    </w:p>
    <w:p>
      <w:pPr>
        <w:pStyle w:val="Heading2"/>
      </w:pPr>
      <w:r>
        <w:t>Erwägungen</w:t>
      </w:r>
    </w:p>
    <w:p>
      <w:r>
        <w:rPr>
          <w:b/>
        </w:rPr>
        <w:t>E. 2</w:t>
      </w:r>
    </w:p>
    <w:p>
      <w:r>
        <w:t>Gemäss Art. 83 Abs. 2 SchKG kann der Betriebene binnen zehn Tagen seit Erteilung der Rechtsöffnung auf dem Wege des ordentlichen Prozesses beim Gericht des Betreibungsortes auf Aberkennung der Forderung klagen. Sieht das kantonale Recht gegen den Rechtsöffnungsentscheid ein ordentliches Rechtsmittel vor, so beginnt die Frist für die Einreichung der Aberkennungsklage erst mit dem Entscheid der oberen Instanz oder aber mit dem unbenutzten Ablauf der Rechtsmittelfrist zu laufen ( BGE 104 II 141 ff.; BGE 100 III 76 /77 mit Hinweisen). a) Ausgehend von dieser Rechtsprechung ist vom Obergericht des Kantons Nidwalden verbindlich festgehalten worden, dass der Kläger den gegen ihn ausgefällten Rechtsöffnungsentscheid am 21. März 1988 zugestellt erhalten hat. Die zehntägige Frist des vom kantonalen Recht als ordentliches Rechtsmittel vorgesehenen Rekurses ist somit am 22. März 1988 in Gang gesetzt worden, um am 31. März 1988 zu enden. Da dieser Termin in die Ostergerichtsferien gefallen und der Fristenlauf nach dem damals anwendbaren kantonalen Recht während der Gerichtsferien nicht gehemmt BGE 115 III 91 S. 93 worden sei, habe sich die Rekursfrist bis zum ersten Werktag nach den Gerichtsferien, somit bis zum 11. April 1988, verlängert. Zu diesem Zeitpunkt sei der Rechtsöffnungsentscheid zufolge unbenutzten Ablaufs der Rechtsmittelfrist in Rechtskraft erwachsen und habe gemäss Art. 83 Abs. 2 SchKG zugleich die Aberkennungsklagefrist zu laufen begonnen. Die Klageanhebung hätte demnach bis am 21. April 1988 erfolgen müssen, weshalb das Kantonsgericht auf die erst am 25. April 1988 erfolgte Eingabe zu Recht nicht eingetreten sei. b) Streitig ist im vorliegenden Verfahren einzig, ob vom Obergericht Bundesrecht verletzt worden ist, indem es bei der Bestimmung des den Fristenlauf gemäss Art. 83 Abs. 2 SchKG auslösenden Zeitpunktes die Art. 56 Ziff. 3 und 63 SchKG ausser acht gelassen hat.</w:t>
      </w:r>
    </w:p>
    <w:p>
      <w:r>
        <w:rPr>
          <w:b/>
        </w:rPr>
        <w:t>E. 3</w:t>
      </w:r>
    </w:p>
    <w:p>
      <w:r>
        <w:t>Nach Art. 56 Ziff. 3 SchKG dürfen - abgesehen von vorliegend nicht interessierenden Ausnahmen - während der Betreibungsferien keine Betreibungshandlungen vorgenommen werden. Art. 63 SchKG sieht vor, dass die Betreibungsferien den Fristenlauf nicht hemmen; wenn indessen das Ende einer Frist in die Zeit der Ferien fällt, so wird die Frist bis zum dritten Werktage nach dem Ende der Ferienzeit verlängert ( Art. 63 SchKG in Verb. mit BGE 80 III 105 /106). a) Nach herrschender Lehre und gefestigter Rechtsprechung gilt die Erteilung der Rechtsöffnung als Betreibungshandlung ( BGE 96 III 49 E. 3 mit Hinweisen auf Lehre und Rechtsprechung; vgl. aus dem neueren Schrifttum etwa AMONN, Grundriss des Schuldbetreibungs- und Konkursrechts, 4. A. 1988, § 11, Rz. 27, S. 96; GILLIERON Poursuite pour dettes, faillite et concordat, 2. A. 1988, S. 99 unten; FRITZSCHE/WALDER, Schuldbetreibung und Konkurs nach schweizerischem Recht, Bd. I, § 13 Rz. 21, Anm. 39, S. 129). Während der Betreibungsferien darf deshalb keine Rechtsöffnungsverhandlung abgehalten und die Rechtsöffnung nicht ausgesprochen werden. Folgerichtig hat die Rechtsprechung bereits früh festgehalten, dass für das Rekursverfahren in Rechtsöffnungssachen gleiches zu gelten hat, sofern nach kantonalem Recht ein solches Rechtsmittelverfahren vorgesehen ist. Endlich hat sie es als naheliegend erachtet, Art. 63 SchKG gleichermassen auf die Rekursfrist anzuwenden, denn diese Bestimmung soll nicht nur die Fristen im Auge haben, innert denen eine behördliche Handlung im Sinne von Art. 56 SchKG vorzunehmen ist, sondern auch diejenigen, die dem Schuldner zur Wahrung seiner Interessen BGE 115 III 91 S. 94 gesetzt Sind ( BGE 50 I 226 f. E. 2 mit Hinweisen; vgl. auch BGE 50 III 11 ). Dabei ist nicht übersehen worden, dass die Einführung der Rekursmöglichkeit in Rechtsöffnungssachen und damit die Ausgestaltung der Rekursfrist dem kantonalen Recht anheimgestellt bleiben; obwohl aber die Kantone nach Art. 25 Ziff. 2 SchKG zur Regelung des summarischen Prozessverfahrens befugt sind, soll eine allgemeine Verfahrensvorschrift des SchKG dann zur Anwendung gelangen, wenn Sinn und Zweck des Gesetzes dies erfordern. Dies trifft nach der Rechtsprechung auf Art. 63 SchKG zu, und zwar in Rechtsöffnungssachen auch gegenüber der kantonalrechtlich geregelten Rekursfrist ( BGE 50 I 227 /228). Wird damit dem Schuldner nicht zugemutet, sich während der Betreibungsferien Klarheit darüber zu verschaffen, ob er den Rechtsöffnungsentscheid anfechten will, muss dies notwendigerweise auch Auswirkungen auf die Frist gemäss Art. 83 Abs. 2 SchKG zeitigen. Diese Soll erst zu laufen beginnen, wenn der Entschluss des Schuldners, den Entscheid des Rechtsöffnungsrichters in Rechtskraft erwachsen zu lassen, als gesichert feststeht. Letzteres aber ist bei Rechtsöffnungsentscheiden, bei denen die Rekursfrist wie vorliegend innerhalb der Betreibungsferien abläuft, gemäss Art. 63 SchKG erst nach Ablauf der Betreibungsferien sowie weiterer drei Tage der Fall. b) Die dargelegte Rechtsprechung, die ihren Niederschlag in kantonalen Urteilen gefunden hat (etwa ZR 82/1983 Nr. 29, S. 60 ff.; BlSchK 46/1982, Nr. 13, S. 56 ff.), ist auch von der Lehre gebilligt worden (AMONN, a.a.O., § 11 Rz. 44 sowie GILLIERON, a.a.O., S. 99; kritisch jedoch FRITZSCHE/WALDER, a.a.O., § 13 Rz. 5, Anm. 6, S. 122). Auch im vorliegenden Fall besteht keine Veranlassung, von dieser langjährigen Praxis abzuweichen. Demgemäss hätte der Kläger - in Anwendung von § 16 Ziff. 2 der nidwaldischen Einführungsverordnung zum SchKG in Verbindung mit Art. 63 SchKG - bis zehn Tage nach Ostern, mithin bis zum 13. April 1988 Zeit gehabt, den Rechtsöffnungsentscheid mittels Rekurs anzufechten. Die für die Klagefrist gemäss Art. 83 Abs. 2 SchKG entscheidende Rechtskraft trat somit erst am 14. April 1988 ein, weshalb die Vorinstanz die am Montag, den 25. April 1988, nach Art. 31 Abs. 1 und 3 SchKG fristgerecht angehobene Aberkennungsklage zu Unrecht als verspätet erachtet hat. Der angefochtene Entscheid ist daher als bundesrechtswidrig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