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71</w:t>
      </w:r>
    </w:p>
    <w:p>
      <w:r>
        <w:t>Bundesgericht (BGE), 1989-01-01, DE</w:t>
      </w:r>
    </w:p>
    <w:p>
      <w:r>
        <w:rPr>
          <w:b/>
        </w:rPr>
        <w:t xml:space="preserve">Quelle: </w:t>
      </w:r>
      <w:r>
        <w:t>https://mcp.opencaselaw.ch/entscheid/bge_BGE_115_III_71</w:t>
      </w:r>
    </w:p>
    <w:p>
      <w:r>
        <w:t>FR: ATF 115 III 71</w:t>
      </w:r>
    </w:p>
    <w:p>
      <w:r>
        <w:t>IT: DTF 115 III 71</w:t>
      </w:r>
    </w:p>
    <w:p>
      <w:pPr>
        <w:pStyle w:val="Heading2"/>
      </w:pPr>
      <w:r>
        <w:t>Regeste</w:t>
      </w:r>
    </w:p>
    <w:p>
      <w:r>
        <w:t>Regeste Verspätete Konkurseingabe (Art. 251 SchKG). Eine Forderung der Ausgleichskasse für persönliche AHV/IV/EO-Beiträge eines Selbständigerwerbenden, die im ausserordentlichen Verfahren gemäss Art. 24 AHVV festgesetzt worden sind, kann von der Ausgleichskasse nachträglich zur Kollokation angemeldet werden.</w:t>
      </w:r>
    </w:p>
    <w:p>
      <w:r>
        <w:t>Regeste Production en retard (art. 251 LP). La créance d'une caisse de compensation pour les cotisations AVS/AI/APG personnelles d'un indépendant, qui ont été fixées en procédure extraordinaire selon l'art. 24 RAVS, peut faire l'objet d'une production ultérieure à l'état de collocation.</w:t>
      </w:r>
    </w:p>
    <w:p>
      <w:r>
        <w:t>Regesto Insinuazione tardiva (art. 251 LEF). Il credito di una cassa di compensazione per i contributi personali AVS/AI/APG di una persona esercitante un'attività lucrativa indipendente, determinati nella procedura straordinaria secondo l'art. 24 OAVS, può essere insinuato dalla cassa di compensazione dopo che sia stata formata la graduatoria.</w:t>
      </w:r>
    </w:p>
    <w:p>
      <w:pPr>
        <w:pStyle w:val="Heading2"/>
      </w:pPr>
      <w:r>
        <w:t>Erwägungen</w:t>
      </w:r>
    </w:p>
    <w:p>
      <w:r>
        <w:rPr>
          <w:b/>
        </w:rPr>
        <w:t>E. 1</w:t>
      </w:r>
    </w:p>
    <w:p>
      <w:r>
        <w:t>Art. 251 Abs. 1 SchKG sieht die Möglichkeit vor, verspätete Konkurseingaben noch bis zum Schluss des Konkursverfahrens anzubringen. Der Gläubiger ist nach Abs. 2 dieser Bestimmung lediglich verpflichtet, sämtliche durch die Verspätung verursachten BGE 115 III 71 S. 73 Kosten zu tragen, und er kann zu einem entsprechenden Vorschuss angehalten werden. In Einschränkung der an sich klaren Gesetzesvorschrift hat die Rechtsprechung indessen festgehalten, dass aus Gründen der Rechtssicherheit und zur Gewährleistung eines geordneten Verfahrens eine nachträgliche Eingabe nur zugelassen werden könne, wenn es sich bei der nachträglich angemeldeten Forderung um eine erstmals geltend gemachte Forderung handle und nicht etwa der rechtskräftig gewordene Kollokationsplan abgeändert werden wolle. Diese Voraussetzung sei erfüllt, wenn der verspätete Anspruch auf andern tatsächlichen und rechtlichen Vorgängen beruhe als die früheren Eingaben desselben Gläubigers oder wenn der Gläubiger, der für seine frühere Forderung einen höheren Betrag oder einen besseren Rang beansprucht, sich auf neue Tatsachen berufen könne, die er mit der ersten Eingabe noch nicht geltend machen konnte ( BGE 108 III 82 E. 5, mit Hinweis auf BGE 106 III 44 E. 4 und 106 II 376).</w:t>
      </w:r>
    </w:p>
    <w:p>
      <w:r>
        <w:rPr>
          <w:b/>
        </w:rPr>
        <w:t>E. 2</w:t>
      </w:r>
    </w:p>
    <w:p>
      <w:r>
        <w:t>Nach der Meinung der Aufsichtsbehörde für Schuldbetreibung und Konkurs des Kantons St. Gallen hat sich die Ausgleichskasse des Kantons St. Gallen zu Unrecht auf die Art. 22 bis 23ter der Verordnung über die Alters- und Hinterlassenenversicherung (vom 31. Oktober 1947, SR 831.101; AHVV) gestützt. Massgeblich sind nach der Auffassung der Aufsichtsbehörde (wie auch des Konkursamtes des Kantons St. Gallen in seiner Vernehmlassung) vielmehr die Art. 24 bis 26 AHVV, welche die Festsetzung der Beiträge im ausserordentlichen Verfahren regeln. Es gehe nicht an - führt die Vorinstanz aus -, dass die Ausgleichskasse als Gläubigerin in einem Konkursverfahren den Eingang der üblichen Steuermeldung abwarte, bis entsprechende Nachtragsverfügungen allenfalls gestellt und Nachforderungen angemeldet würden. Aufgrund geltenden Rechts sei die Rekurrentin gehalten gewesen, die Einschätzung des Gemeinschuldners selbst vorzunehmen. Die Meldung des Steueramtes und die gestützt darauf ergangenen Nachtragsverfügungen stellten keine neuen Tatsachen dar, die eine nachträgliche Anmeldung der Forderung rechtfertigen könnten; denn aufgrund einer Einschätzung gemäss Art. 24 AHVV wäre die Ausgleichskasse ohne weiteres in der Lage gewesen, ihre Forderung in der ersten Eingabe umfassend bekanntzugeben. Zudem beruhe die hier zur Diskussion stehende Nachforderung auf dem gleichen Rechtsgrund wie die am 30. Dezember 1987 angemeldete Forderung (AHV-Beitragspflicht). BGE 115 III 71 S. 74 Demnach handle es sich keineswegs um eine neue, eigenständige Forderung.</w:t>
      </w:r>
    </w:p>
    <w:p>
      <w:r>
        <w:rPr>
          <w:b/>
        </w:rPr>
        <w:t>E. 3</w:t>
      </w:r>
    </w:p>
    <w:p>
      <w:r>
        <w:t>a) Zutreffend sind die Erwägungen der kantonalen Aufsichtsbehörde insofern, als gesagt wird, die Nachforderung der Ausgleichskasse beruhe auf demselben Rechtsgrund wie die am 30. Dezember 1987 angemeldete und rechtskräftig kollozierte Forderung, nämlich auf der Pflicht, neben paritätischen auch persönliche Beiträge als Selbständigerwerbender an die Sozialversicherung zu leisten. Doch das allein ist für die Beurteilung der vorliegenden Streitsache nicht entscheidend. Wesentlich ist vielmehr, dass die Ausgleichskasse verpflichtet ist, Selbständigerwerbende in einem durch die Rechtsordnung vorgeschriebenen Verfahren für ihre persönlichen Beiträge zu veranlagen und auch eine entsprechende Korrektur vorzunehmen, falls die ursprüngliche Veranlagung mit der letztlich massgebenden Sachlage auf seiten des Beitragspflichtigen nicht übereinstimmt ( Art. 39 und 41 AHVV ). Im ordentlichen Verfahren gemäss Art. 22 ff. AHVV ermitteln die Steuerbehörden das für die Berechnung der Beiträge massgebende Einkommen aus selbständiger Erwerbstätigkeit aufgrund der rechtskräftigen Veranlagung für die direkte Bundessteuer. Die Angaben der kantonalen Steuerbehörden sind für die Ausgleichskasse verbindlich ( Art. 23 Abs. 1 und 4 AHVV ; BGE 110 V 370 E. 2a, BGE 108 V 178 E. 2a). Können jedoch die kantonalen Steuerbehörden keine Meldung erstatten oder verzögert sich die Meldung so, dass die Gefahr eines Beitragsverlustes besteht, so hat die Ausgleichskasse selber zu bestimmen, aufgrund welches Jahreseinkommens der Jahresbeitrag festgesetzt wird ( Art. 24 AHVV ). Bei der Veranlagung in diesem ausserordentlichen Verfahren steht der Ausgleichskasse aber nicht völlig freies Ermessen zu; vielmehr muss sie sich auf alle ihr zur Verfügung stehenden Unterlagen stützen, wozu grundsätzlich auch die Selbsteinschätzung durch den Beitragspflichtigen gehört ( Art. 26 AHVV ). Ergibt sich später aus der Meldung der kantonalen Steuerbehörde ein höheres oder niedrigeres reines Einkommen, so hat die Ausgleichskasse die Beiträge nachzufordern oder zurückzuerstatten ( Art. 25 Abs. 5 AHVV ). Eine solche Nachforderung beruht daher - entgegen der Auffassung der kantonalen Aufsichtsbehörde und des Konkursamtes - sehr wohl auf neuen Tatsachen, welche die Ausgleichskasse vorher nicht kannte und auch nicht kennen konnte. b) Im vorliegenden Fall hat die kantonale Aufsichtsbehörde übersehen, dass die Ausgleichskasse entsprechend den obenerwähnten BGE 115 III 71 S. 75 Vorschriften zu handeln hatte. Schon die Forderungseingabe vom 30. Dezember 1987 beruhte auf dem ausserordentlichen Verfahren im Sinne von Art. 22 ff. AHVV . Dass sich die Rekurrentin trotzdem auf die Art. 22 ff. AHVV berief, hat seinen Grund offenbar darin, dass in der Praxis der Ausgleichskassen von einer ausserordentlichen Beitragsfestsetzung vor allem dann gesprochen wird, wenn Sachverhalte des Art. 25 AHVV in Frage stehen (Änderung der Einkommensgrundlagen; vgl. BGE 110 V 7 ff., BGE 108 V 178 E. 2b, BGE 107 V 4 ff.). Jedenfalls geht die kantonale Aufsichtsbehörde zu Unrecht davon aus, dass die Ausgleichskasse schon mit ihrer ersten Forderungsanmeldung sämtliche Beitragsforderungen gegenüber Kurt Feuchtner hätte bekanntgeben können, wenn sie gemäss Art. 24 ff. AHVV vorgegangen wäre. Dafür fehlte es an den erforderlichen Grundlagen, insbesondere der rechtskräftigen Steuerveranlagung. Die Rechtsprechung zu Art. 251 SchKG (oben E. 1) hat ganz andere Sachverhalte als diesen im Auge, soll doch vor allem vermieden werden, dass mittels verspäteter Konkurseingaben auf unzulässige Weise ein rechtskräftiger Kollokationsplan zu Fall gebracht und damit die Rechtssicherheit gefährdet wird. Eine solche unlautere Absicht hat die Rekurrentin mit ihrer nachträglichen Forderungseingabe gewiss nicht verfolgt, sondern sie hat im Gegenteil - wie im angefochtenen Entscheid festgehalten wird - schon in der Konkurseingabe vom 30. Dezember 1987 einen Vorbehalt bezüglich allfälliger späterer Änderungen angebracht. c) Die soeben angestellten Überlegungen lassen sich auch durch die Einwände, welche das Konkursamt in seiner Vernehmlassung geltend macht, nicht entkräften: Dass eine Revision durch die SUVA vorgenommen wurde, konnte am Vorgehen der Ausgleichskasse, die von Gesetzes wegen aufgrund der Meldung der kantonalen Steuerbehörde die Nachforderung stellen musste, nichts ändern. Es ist nicht Aufgabe der SUVA, sondern der Steuerbehörden, die Grundlagen für die Festsetzung der AHV/IV/EO-Beiträge aus selbständiger Erwerbstätigkeit zu liefern. Durch die Revision der SUVA konnten höchstens - wie es denn auch im vorliegenden Fall geschehen ist - die Angaben über die paritätischen Beiträge von Arbeitgeber und Arbeitnehmern vermittelt werden, und diese Angaben konnten allenfalls ein Indiz für die vorläufige Schätzung der persönlichen Beiträge von Kurt Feuchtner 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