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52</w:t>
      </w:r>
    </w:p>
    <w:p>
      <w:r>
        <w:t>Bundesgericht (BGE), 1989-01-01, DE</w:t>
      </w:r>
    </w:p>
    <w:p>
      <w:r>
        <w:rPr>
          <w:b/>
        </w:rPr>
        <w:t xml:space="preserve">Quelle: </w:t>
      </w:r>
      <w:r>
        <w:t>https://mcp.opencaselaw.ch/entscheid/bge_BGE_115_III_52</w:t>
      </w:r>
    </w:p>
    <w:p>
      <w:r>
        <w:t>FR: ATF 115 III 52</w:t>
      </w:r>
    </w:p>
    <w:p>
      <w:r>
        <w:t>IT: DTF 115 III 52</w:t>
      </w:r>
    </w:p>
    <w:p>
      <w:pPr>
        <w:pStyle w:val="Heading2"/>
      </w:pPr>
      <w:r>
        <w:t>Regeste</w:t>
      </w:r>
    </w:p>
    <w:p>
      <w:r>
        <w:t>Regeste Verwertung von Kunstgegenständen durch ein privates Auktionshaus. Die Verwertung ist grundsätzlich Aufgabe der Betreibungsbehörden. Die Gläubiger hätten allenfalls dann einen Anspruch auf Verwertung von Kunstgegenständen durch ein privates Auktionshaus, wenn die öffentliche Versteigerung aufgrund besonderer Umstände als völlig unangemessen erschiene (E. 3; Bestätigung der Rechtsprechung).</w:t>
      </w:r>
    </w:p>
    <w:p>
      <w:r>
        <w:t>Regeste Réalisation d'objets d'art par une entreprise privée de vente aux enchères. La réalisation est en principe la charge des autorités de poursuite. Les créanciers pourraient prétendre à la réalisation d'objets d'art par une entreprise privée de vente aux enchères tout au plus si, en raison de circonstances spéciales, l'adjudication publique devait apparaître tout à fait inadéquate (consid. 3; confirmation de la jurisprudence).</w:t>
      </w:r>
    </w:p>
    <w:p>
      <w:r>
        <w:t>Regesto Realizzazione di oggetti d'arte tramite una ditta privata specializzata in vendite all'asta. Incombe in linea di principio alle autorità di esecuzione di procedere alla realizzazione. I creditori potrebbero eventualmente pretendere che oggetti d'arte siano realizzati tramite una ditta privata specializzata in vendite all'asta qualora, per circostanze speciali, una vendita ai pubblici incanti apparisse del tutto inadeguata (consid. 3; conferma della giurisprudenza).</w:t>
      </w:r>
    </w:p>
    <w:p>
      <w:pPr>
        <w:pStyle w:val="Heading2"/>
      </w:pPr>
      <w:r>
        <w:t>Erwägungen</w:t>
      </w:r>
    </w:p>
    <w:p>
      <w:r>
        <w:rPr>
          <w:b/>
        </w:rPr>
        <w:t>E. 3</w:t>
      </w:r>
    </w:p>
    <w:p>
      <w:r>
        <w:t>Zu prüfen bleibt, ob die kantonale Aufsichtsbehörde Bundesrecht verletzt habe, indem sie von einer privaten Steigerung abgesehen hat. a) Im Zusammenhang mit Konkursverfahren hat das Bundesgericht verschiedentlich die Frage aufgeworfen, ob es zulässig sei, Private mit der Verwertung von Aktiven zu beauftragen, obwohl diese Aufgabe grundsätzlich der Konkursverwaltung obliege. Während in BGE 103 III 45 betont worden ist, die Verwertung durch ein privates Auktionshaus dürfe jedenfalls nicht zu einer die Ansätze des Gebührentarifs übersteigenden Belastung der Masse BGE 115 III 52 S. 54 bzw. der Grundpfandgläubiger führen, hat das Bundesgericht in BGE 105 III 70 f. die Vorteile eines solchen Vorgehens hervorgestrichen. Es hat insbesondere darauf hingewiesen, die Verwertung einer Kunstsammlung verlange Sachkunde und Beziehung zu allfälligen Interessenten (Händlern, Kunstsammlern), wenn ein gutes Ergebnis erzielt werden solle. Beides würde einer Konkursverwaltung auch einer ausseramtlichen in der Regel abgehen. Sofern die Gläubiger einen entsprechenden Beschluss fassten, weil sie sich von der Verwertung durch einen privaten Auktionator ein insgesamt besseres Ergebnis versprächen, und wenn überdies das Recht der Gläubiger gewahrt werde, selber Kaufangebote zu machen, so erscheine ein solches Vorgehen jedenfalls nicht ohne weiteres als bundesrechtswidrig. Diesen Entscheiden kann nun aber nicht entnommen werden, dass die Gläubiger im Konkursverfahren oder wie hier in der Betreibung auf Pfändung Anspruch auf Verwertung durch ein privates Auktionshaus haben, sobald Kunstgegenstände in Frage stehen. Ein solcher Anspruch könnte allenfalls dann bejaht werden, wenn die öffentliche Versteigerung aufgrund besonderer Umstände als völlig unangemessen erschiene. Solche Umstände werden von der Rekurrentin jedoch nicht nachgewiesen. Gemäss den verbindlichen Feststellungen der kantonalen Aufsichtsbehörde steht vielmehr fest, dass die offenbar besonders wertvollen Bilder von Tiepolo und Piazzetta von der vorgesehenen Versteigerung nicht betroffen sind. Die übrigen Kunstgegenstände und Antiquitäten gehören überwiegend der einfachen bis mittleren Preisklasse an. Für diese Gegenstände hat die kantonale Aufsichtsbehörde unter Hinweis auf die Ausführungen der unteren kantonalen Aufsichtsbehörde und des Betreibungsamtes für das Bundesgericht aber verbindlich festgestellt, dass gerade das betroffene Betreibungsamt in der Lage ist, für eine angemessene Versteigerung bei einem interessierten Publikum zu sorgen. Unter diesen Umständen genügt die Tatsache allein, dass die betroffenen Kunstgegenstände und Objekte insgesamt einen nicht unerheblichen Wert darstellen mögen, für sich allein nicht, um den Verzicht auf die Versteigerung durch ein privates Auktionshaus als völlig unangebracht erscheinen zu lassen. Dies würde dem Grundsatz, dass die Verwertung in erster Linie Aufgabe der Betreibungsbehörden ist, gerade zuwiderlaufen (Urteil der Schuldbetreibungs- und Konkurskammer vom 31. August 1988 i.S. Sh., nicht veröffentlichte E. 2b). BGE 115 III 52 S. 55 b) Unter diesen Umständen käme allenfalls ein Freihandverkauf in Frage, wenn die Voraussetzungen von Art. 130 Ziff. 1 SchKG erfüllt wären. Die vorrangige Pfändungsgläubigerin hat sich jedoch ausdrücklich gegen einen solchen Freihandverkauf ausgesprochen. Die Ausführungen der Vorinstanz, wonach diese Nichtzustimmung nicht rechtsmissbräuchlich sei, werden von der Rekurrentin nicht bestritten. Damit fehlt es an einer notwendigen Voraussetzung, um einen Freihandverkauf gestützt auf Art. 130 Ziff. 1 SchKG anzuordnen. Die Zustimmung aller Gläubiger, welche die Rekurrentin einholen lassen will, ist zum vornherein ausgeschlossen. Der allfällige Wunsch der nachrangigen Gläubiger vermag daran nichts zu ändern. Dem Begehren der Rekurrentin ist daher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