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144</w:t>
      </w:r>
    </w:p>
    <w:p>
      <w:r>
        <w:t>Bundesgericht (BGE), 1989-01-01, FR</w:t>
      </w:r>
    </w:p>
    <w:p>
      <w:r>
        <w:rPr>
          <w:b/>
        </w:rPr>
        <w:t xml:space="preserve">Quelle: </w:t>
      </w:r>
      <w:r>
        <w:t>https://mcp.opencaselaw.ch/entscheid/bge_BGE_115_III_144</w:t>
      </w:r>
    </w:p>
    <w:p>
      <w:r>
        <w:t>FR: ATF 115 III 144</w:t>
      </w:r>
    </w:p>
    <w:p>
      <w:r>
        <w:t>IT: DTF 115 III 144</w:t>
      </w:r>
    </w:p>
    <w:p>
      <w:pPr>
        <w:pStyle w:val="Heading2"/>
      </w:pPr>
      <w:r>
        <w:t>Regeste</w:t>
      </w:r>
    </w:p>
    <w:p>
      <w:r>
        <w:t>Regeste Erstellung des Kollokationsplans beim Nachlassvertrag mit Vermögensabtretung (Art. 316g SchKG). Ausser wenn die Voraussetzungen von Art. 59 Abs. 2 KOV gegeben sind, ist ein partieller, auf bestimmte Forderungsklassen beschränkter Kollokationsplan unzulässig. Um das Verfahren zu beschleunigen, kann der Liquidator demzufolge nicht sofort ausschliesslich über die für die erste Klasse angemeldeten Forderungen entscheiden.</w:t>
      </w:r>
    </w:p>
    <w:p>
      <w:r>
        <w:t>Regeste Etablissement de l'état de collocation dans le concordat par abandon d'actif (art. 316g LP). A moins que les conditions de l'art. 59 al. 2 OOF ne soient remplies, il n'est pas admissible de dresser un état de collocation partiel. Le liquidateur ne peut dès lors, dans un souci de célérité, statuer d'emblée et uniquement sur les créances dont la collocation en 1re classe est requise.</w:t>
      </w:r>
    </w:p>
    <w:p>
      <w:r>
        <w:t>Regesto Allestimento della graduatoria nel concordato con abbandono dell'attivo (art. 316g LEF). Salvo che siano adempiute le condizioni dell'art. 59 cpv. 2 RUF, non è consentito allestire una graduatoria parziale. Il liquidatore non può quindi, per accelerare la procedura, decidere in un primo tempo esclusivamente sui crediti di cui è chiesta la graduazione nella prima classe.</w:t>
      </w:r>
    </w:p>
    <w:p>
      <w:pPr>
        <w:pStyle w:val="Heading2"/>
      </w:pPr>
      <w:r>
        <w:t>Erwägungen</w:t>
      </w:r>
    </w:p>
    <w:p>
      <w:r>
        <w:rPr>
          <w:b/>
        </w:rPr>
        <w:t>E. 1</w:t>
      </w:r>
    </w:p>
    <w:p>
      <w:r>
        <w:t>La seule question litigieuse a trait à l'établissement de l'état de collocation ( art. 316g LP ) dans le cadre du concordat par abandon d'actif. Elle peut être soumise aux autorités de surveillance par la voie de la plainte ( art. 17 LP ), alors que les litiges qui portent sur les prétentions des créanciers sont portés devant le juge civil par le biais de l'action en contestation de l'état de collocation ( ATF 106 III 26 consid. 2, ATF 105 III 31 consid. 3, ATF 103 III 14 consid. 1).</w:t>
      </w:r>
    </w:p>
    <w:p>
      <w:r>
        <w:rPr>
          <w:b/>
        </w:rPr>
        <w:t>E. 2</w:t>
      </w:r>
    </w:p>
    <w:p>
      <w:r>
        <w:t>L'établissement de l'état de collocation dans le concordat par abandon d'actif ( art. 316g LP ) obéit aux règles valables en matière de faillite ( ATF 105 III 31 consid. 3 et les références). Selon l' art. 247 al. 1 LP , dans les vingt jours après l'expiration pour les productions, l'état de collocation doit être dressé conformément aux dispositions des art. 219 et 220. a) Selon l'autorité cantonale, si la loi envisage la prolongation du délai ( art. 247 al. 2 LP ), elle ne prévoit en aucune manière la possibilité d'une entrée en force différée de l'état de collocation suivant le rang des créances produites. Cela résulte non seulement du but de la collocation globale des créances, mais aussi de la teneur de l'art. 59 al. 2 OOF (RS 281.32). Cette disposition autorise certes qu'il ne soit pas statué d'emblée sur toutes les productions et que l'état de collocation soit complété ultérieurement. Il s'agit ainsi d'éviter que le dépôt de l'état de collocation soit retardé. Cette solution ne doit cependant être envisagée qu'en présence d'obstacles sérieux ou de difficultés graves ( ATF 103 III 31 consid. 3, ATF 92 III 30 consid. 1). Lorsque tel n'est pas le cas, il faut protéger l'intérêt des créanciers à disposer d'un état de collocation qui statue sur toutes les productions, pour permettre à chacun de critiquer, en une seule procédure, l'état de collocation qui ne le satisferait pas. Le créancier dont la prétention n'aurait pas encore été examinée serait dans l'impossibilité d'attaquer un état de collocation partiel ( ATF 103 III 15 ). b) Le recourant prétend pour sa part que l'établissement d'un état de collocation partiel est entré dans la pratique et que cette façon de faire se justifie, notamment lorsque la liquidation risque de durer un certain temps. Il estime judicieux que les créanciers de première classe soient désintéressés le plus rapidement possible, BGE 115 III 144 S. 146 sans avoir à attendre qu'il ait été statué sur d'autres prétentions dont le fondement est plus difficile à vérifier. Le recourant fait valoir que la privation de la possibilité pour un créancier d'attaquer l'état de collocation partiel qui ne statue pas encore sur sa propre prétention conduit à un résultat inadmissible. Il considère dès lors que l'autorité cantonale a donné à la jurisprudence ( ATF 103 III 15 ) une portée que le Tribunal fédéral n'a pas voulue et relève qu'il serait logique de reconnaître à chaque créancier qui a produit la qualité pour contester d'emblée un état de collocation partiel.</w:t>
      </w:r>
    </w:p>
    <w:p>
      <w:r>
        <w:rPr>
          <w:b/>
        </w:rPr>
        <w:t>E. 3</w:t>
      </w:r>
    </w:p>
    <w:p>
      <w:r>
        <w:t>Il faut concéder au recourant que la jurisprudence à laquelle l'autorité cantonale se réfère n'est pas aussi restrictive que celle-ci le laisse entendre. Il ressort d'ailleurs aussi bien des termes utilisés dans cet arrêt que du contexte de l'affaire que le Tribunal fédéral n'entendait pas se prononcer de manière définitive sur la qualité pour contester l'état de collocation. Il a seulement été affirmé que le créancier dont la prétention a fait l'objet d'une décision de l'administration de la faillite est habilité à ouvrir action en contestation de l'état de collocation. A cette occasion, la question pouvait rester indécise de savoir s'il convient de considérer comme inscrite à l'état de collocation une créance dès sa production dans la faillite, soit alors qu'il appartient encore à l'administration de décider définitivement de l'admettre ou de l'écarter. Il n'y avait dès lors pas à examiner la question de la qualité pour agir d'un créancier dont la prétention fera l'objet d'un complément de l'état de collocation au sens de l'art. 59 al. 2 OOF.</w:t>
      </w:r>
    </w:p>
    <w:p>
      <w:r>
        <w:rPr>
          <w:b/>
        </w:rPr>
        <w:t>E. 4</w:t>
      </w:r>
    </w:p>
    <w:p>
      <w:r>
        <w:t>Il convient dès lors uniquement d'examiner si l'on entend s'en tenir à la jurisprudence publiée aux ATF 103 III 17 et ATF 92 III 30 selon laquelle l'état de collocation doit être dressé le plus rapidement possible, seuls des obstacles sérieux autorisant la suspension de son dépôt ou son complément ultérieur. Une réponse affirmative à cette question s'impose. Certes, l'expérience enseigne que la liquidation d'une faillite prend souvent plus de temps que ce que souhaiteraient les créanciers colloqués en première classe et dont les droits font l'objet d'une protection particulière. Mais cela ne constitue pas un motif suffisant pour compromettre les intérêts des autres créanciers qui doivent pouvoir connaître, grâce à l'état de collocation complet, le sort réservé à l'ensemble des prétentions. Cet état, qui constitue le tableau du passif du débiteur, détermine le droit de participer à la distribution du produit de la réalisation et la mesure de cette participation (cf. BGE 115 III 144 S. 147 GILLIÉRON, Poursuite pour dettes, faillite et concordat, 2e éd., p. 331). C'est en fonction de sa teneur que s'expriment les rapports entre les droits des différents créanciers ( ATF 103 III 41 consid. 1). L'objet de l'action en contestation de l'état de collocation n'est donc pas la décision entrée en force qui statue sur une production en tant que telle, mais bien la décision définitive déterminant la mesure selon laquelle un créancier a droit au produit de la liquidation du failli ( ATF 98 II 318 ). Du point de vue de l'économie de procédure, les créanciers ont un intérêt à pouvoir attaquer en une seule action en contestation de l'état de collocation une décision de l'administration qu'ils estiment erronée. Un créancier ne doit pas être contraint à s'adresser à plusieurs reprises au même juge, voire, en raison de valeurs litigieuses différentes, à plusieurs instances. Or de telles complications liées à la compétence matérielle du juge - le droit fédéral ne déterminant que l'unicité du for de l'action ( art. 250 al. 1 LP ) - sont inévitables lorsque des états de collocation partiels - entrent en force à des dates différentes. De même, du point de vue du juge, il convient d'éviter que sa compétence matérielle dépende en fait de la procédure adoptée par l'administration de la faillite. Bien que, selon l'opinion du recourant, un état de collocation qui englobe toutes les créances de première classe doive pouvoir être dressé, le risque de jugements contradictoires existe cependant. On peut notamment penser à cet égard à l'hypothèse du créancier dont les prétentions relèveraient de classes différentes et sur lesquelles il devrait - autant que faire se peut - être statué simultanément. D'une manière toute générale, il faut donc favoriser la réunion en une seule procédure des différends relatifs aux diverses productions (cf. FURRER, Die Kollokationsklagen nach schweizerischem Recht, thèse Zurich 1979, p. 149). L'établissement d'un état de collocation partiel y mettrait d'emblée obstacle.</w:t>
      </w:r>
    </w:p>
    <w:p>
      <w:r>
        <w:rPr>
          <w:b/>
        </w:rPr>
        <w:t>E. 6</w:t>
      </w:r>
    </w:p>
    <w:p>
      <w:r>
        <w:t>C'est dès lors à bon droit que l'autorité cantonale a considéré que l'établissement d'un état de collocation partiel n'était pas admissible. Hors l'hypothèse visée à l'art. 59 al. 2 OOF, un état de collocation partiel n'emporte aucun effet juridique et doit être considéré comme nul.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