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103</w:t>
      </w:r>
    </w:p>
    <w:p>
      <w:r>
        <w:t>Bundesgericht (BGE), 1989-01-01, DE</w:t>
      </w:r>
    </w:p>
    <w:p>
      <w:r>
        <w:rPr>
          <w:b/>
        </w:rPr>
        <w:t xml:space="preserve">Quelle: </w:t>
      </w:r>
      <w:r>
        <w:t>https://mcp.opencaselaw.ch/entscheid/bge_BGE_115_III_103</w:t>
      </w:r>
    </w:p>
    <w:p>
      <w:r>
        <w:t>FR: ATF 115 III 103</w:t>
      </w:r>
    </w:p>
    <w:p>
      <w:r>
        <w:t>IT: DTF 115 III 103</w:t>
      </w:r>
    </w:p>
    <w:p>
      <w:pPr>
        <w:pStyle w:val="Heading2"/>
      </w:pPr>
      <w:r>
        <w:t>Regeste</w:t>
      </w:r>
    </w:p>
    <w:p>
      <w:r>
        <w:t>Regeste Pfändung der dem Ehegatten nach Art. 159, 163 und 164 ZGB zustehenden Beträge. 1. Ein sich aus der ehelichen Beistandspflicht ergebender Anspruch ist nicht pfändbar, soweit er nicht zum ehelichen Unterhalt im Sinne von Art. 163 oder 164 ZGB gehört (E. 3b). 2. Kann auch bei gemeinsamen Haushalt ein Anspruch nach Art. 163 ZGB gepfändet werden (E. 3a)? 3. Die Unterhaltskosten für ein nichtgemeinsames Kind gehören nicht zum ehelichen Unterhalt, soweit der Elternteil für sie nicht die Beistandspflicht seines Ehegatten beanspruchen kann (E. 4 und 5). 4. Die Unterhaltspflicht gegenüber einem nichtgemeinsamen Kind hängt nicht mit den erweiterten persönlichen Bedürfnissen des unterhaltspflichtigen Elternteils zusammen. Für die Alimentenschuld können deshalb nicht die Leistungen gepfändet werden, die dem Alimentenschuldner gegenüber seinem Ehegatten nach Art. 164 ZGB zustehen (E. 6). 5. Frage, wie sich die Alimentenschuld gegenüber einem nichtgemeinsamen Kind auf die Berechnung des gemeinsamen Notbedarfs der Ehegatten auswirkt, offengelassen (E. 7).</w:t>
      </w:r>
    </w:p>
    <w:p>
      <w:r>
        <w:t>Regeste Saisie de montants revenant à l'époux selon les art. 159, 163 et 164 CC. 1. Un droit découlant de l'obligation d'assistance entre époux n'est pas saisissable, pour autant que la prétention n'entre pas dans le cadre de l'entretien conjugal des art. 163 ou 164 CC (consid. 3b). 2. Une prétention selon l'art. 163 CC peut-elle aussi être saisie pendant la vie commune? (consid. 3a). 3. Les frais d'entretien de l'enfant d'un seul des époux ne font pas partie de l'entretien conjugal, pour autant que le parent ne puisse exiger que son conjoint l'assiste pour les assumer (consid. 4 et 5). 4. L'obligation d'entretien envers un enfant qui n'est pas commun sort du cadre des besoins personnels étendus du parent appelé à assumer l'entretien. C'est pourquoi les prestations qui, selon l'art. 164 CC, incombent à un époux envers son conjoint ne peuvent être saisies pour acquitter cette dette alimentaire (consid. 6). 5. Quels sont les effets de l'obligation d'entretien envers l'enfant d'un seul des époux sur le calcul du minimum vital commun des conjoints? Question laissée sans réponse (consid. 7).</w:t>
      </w:r>
    </w:p>
    <w:p>
      <w:r>
        <w:t>Regesto Pignoramento di somme spettanti al coniuge secondo gli art. 159, 163 e 164 CC. 1. Una pretesa risultante dall'obbligo di assistenza tra i coniugi non è pignorabile ove non entri nel quadro del mantenimento coniugale ai sensi degli art. 163 o 164 CC (consid. 3b). 2. Una pretesa secondo l'art. 163 CC può essere pignorata anche allorquando esista comunione domestica? (consid. 3a). 3. Le spese di mantenimento del figlio di uno solo dei coniugi non fanno parte del mantenimento coniugale, in quanto il genitore non possa esigere che il suo coniuge lo aiuti ad assumerle (consid. 4, 5). 4. L'obbligo di mantenimento nei confronti di un figlio esula dal quadro dei bisogni personali estesi del genitore tenuto ad assumere tale obbligo. Perciò non possono essere pignorate per estinguere questo debito alimentare le prestazioni che, secondo l'art. 164 CC, incombono ad un coniuge a favore dell'altro (consid. 6). 5. Quali sono gli effetti dell'obbligo di mantenimento nei confronti di un figlio non comune sul calcolo del minimo vitale comune dei coniugi? Questione lasciata indecisa (consid. 7).</w:t>
      </w:r>
    </w:p>
    <w:p>
      <w:pPr>
        <w:pStyle w:val="Heading2"/>
      </w:pPr>
      <w:r>
        <w:t>Erwägungen</w:t>
      </w:r>
    </w:p>
    <w:p>
      <w:r>
        <w:rPr>
          <w:b/>
        </w:rPr>
        <w:t>E. 2</w:t>
      </w:r>
    </w:p>
    <w:p>
      <w:r>
        <w:t>Die Pfändung des angeblichen eherechtlichen Guthabens des Schuldners gegenüber seiner Ehefrau als bestrittene Forderung setzt voraus, dass es sich um einen Anspruch handelt, der grundsätzlich der Pfändung zugänglich ist und auf den für die in Betreibung gesetzte Forderung gegriffen werden kann. Diese Voraussetzungen sind für Art. 163 und 164 getrennt zu prüfen.</w:t>
      </w:r>
    </w:p>
    <w:p>
      <w:r>
        <w:rPr>
          <w:b/>
        </w:rPr>
        <w:t>E. 3</w:t>
      </w:r>
    </w:p>
    <w:p>
      <w:r>
        <w:t>a) Ob ein Anspruch nach Art. 163 ZGB bei gemeinsamem Haushalt überhaupt pfändbar ist, wird in der Lehre nicht einheitlich beurteilt (Pfändbarkeit grundsätzlich ausschliessend: ISAAK MEIER, Die Stellung des Gläubigers im neuen Eherecht, SJZ 85 (1989), S. 243; grundsätzlich zulassend: HAUSHEER/REUSSER/GEISER, Kommentar zum neuen Eherecht, Bern 1989, N. 66 zu Art. 163 ZGB ). Das Bundesgericht musste zu dieser Frage bis jetzt nicht Stellung nehmen, hat aber in BGE 114 III 87 E. 5 nebenbei durchblicken lassen, die Pfändbarkeit der Ansprüche nach Art. 163 ZGB grundsätzlich in gleicher Weise zulassen zu wollen, wie jene nach Art. 164 ZGB . Von der Zweckbestimmung der Unterhaltsansprüche unter Ehegatten her kann somit im vorliegenden Fall zum vornherein nur insoweit eine Pfändung der Forderung nach Art. 163 ZGB in Frage kommen, als Roland H. BGE 115 III 103 S. 106 gegenüber seiner Frau ein Anspruch zusteht, der die Tilgung seiner Unterhaltsschuld gegenüber dem nicht gemeinsamen Kind bezweckt. b) Aus der Beistandspflicht unter Ehegatten ( Art. 159 ZGB ) und aus Art. 278 Abs. 2 ZGB ergibt sich, dass ein Ehegatte den anderen bei der Erfüllung seiner gesetzlichen, Dritte betreffenden Unterhaltspflichten insoweit zu unterstützen hat, als ihm dies zumutbar ist. Dieser Beistand besteht in erster Linie darin, dass der eine Ehegatte mehr an den ehelichen Unterhalt leistet, damit der andere vermehrt sein Einkommen für seine Unterhaltspflichten einsetzen kann. Der Ehegatte kann aber auch verpflichtet sein, dem anderen gewisse Geldmittel zur Erfüllung seiner Unterhaltspflicht zur Verfügung zu stellen (vgl. HAUSHEER/REUSSER/GEISER, a.a.O., N. 41 zu Art. 159 ZGB ). Aufgrund der Beschränkung des Richters in Art. 172 Abs. 3 ZGB auf die im Gesetz vorgesehenen Massnahmen ergibt sich aber, dass diese Verpflichtung nur insoweit erzwingbar und demnach pfändbar ist, als sie vom ehelichen Unterhalt gemäss Art. 163 und 164 ZGB erfasst wird (HAUSEEER/REUSSER/GEISER, a.a.O., N. 47 zu Art. 159 ZGB ).</w:t>
      </w:r>
    </w:p>
    <w:p>
      <w:r>
        <w:rPr>
          <w:b/>
        </w:rPr>
        <w:t>E. 4</w:t>
      </w:r>
    </w:p>
    <w:p>
      <w:r>
        <w:t>Wieweit die Unterhaltskosten der Kinder nur eines Ehegatten im ehelichen Unterhalt eingeschlossen sind, ist in der Lehre umstritten. HEGNAUER (Grundriss des Eherechts, Bern 1987, S. 155) rechnet nur die Unterhaltskosten jener nichtgemeinsamen Kinder zum ehelichen Unterhalt, welche im gemeinsamen Haushalt wohnen. HAUSHEER/REUSSER/GEISER (a.a.O., N. 17 zu Art. 163) zählen nur jene Kosten darunter, welche den gemeinsamen Haushalt betreffen, und DESCHENAUX/STEINAUER (Le nouveau droit matrimonial, Bern 1987, S. 54) beziehen die ganzen Unterhaltskosten eines nichtgemeinsamen Kindes, für die nach Art. 278 Abs. 2 ZGB eine Beistandspflicht besteht, in den ehelichen Unterhalt ein. Durchwegs wird aber die Meinung abgelehnt, der eheliche Unterhalt könne auch jene Unterhaltspflichten eines Ehegatten gegenüber nichtgemeinsamen Kindern umfassen, für die er die Beistandspflicht seines Partners nicht beanspruchen kann und die weder im gemeinsamen Haushalt leben noch diesen betreffen.</w:t>
      </w:r>
    </w:p>
    <w:p>
      <w:r>
        <w:rPr>
          <w:b/>
        </w:rPr>
        <w:t>E. 5</w:t>
      </w:r>
    </w:p>
    <w:p>
      <w:r>
        <w:t>Was Roland H. betrifft, kann er nicht verlangen, dass seine Frau für den Unterhalt seines Kindes aufkomme. Eine entsprechende Beistandspflicht der Ehefrau besteht nur, soweit ihr das zuzumuten ist und es dem Ehemann nicht möglich ist, selber seiner Verpflichtung nachzukommen (HAUSHEER/REUSSER/GEISER, a.a.O., N. 27 zu Art. 159 ZGB ). Wie die Verurteilung wegen BGE 115 III 103 S. 107 Vernachlässigung der Unterstützungspflichten zeigt, wäre aber Roland H. bei gutem Willen sehr wohl in der Lage, selber für ein Einkommen zu sorgen, das es ihm erlaubte, für den Unterhalt seines Kindes aufzukommen. Er kann deshalb offensichtlich die Beistandspflicht seiner Ehefrau dafür nicht beanspruchen. Für die in Betreibung gesetzte Forderung ist somit ein pfändbarer Anspruch des Schuldners aus Art. 163 ZGB nicht gegeben. Daher war es richtig, den von der Gläubigerin behaupteten Anspruch auch nicht als bestrittene Forderung zu pfänden. Der Rekurs erweist sich in diesem Punkt als unbegründet.</w:t>
      </w:r>
    </w:p>
    <w:p>
      <w:r>
        <w:rPr>
          <w:b/>
        </w:rPr>
        <w:t>E. 6</w:t>
      </w:r>
    </w:p>
    <w:p>
      <w:r>
        <w:t>Das Bundesgericht hat in BGE 114 III 82 festgehalten, dass der Anspruch aus Art. 164 ZGB als solcher nicht pfändbar ist. Demgegenüber sind die einzelnen Leistungen nicht grundsätzlich den Gläubigern des anspruchsberechtigten Ehegatten entzogen (ebenso ISAAK MEIER, SJZ 85 (1989), S. 242; HEGNAUER, Grundriss des Eherechts, Bern 1987, S. 162; HAUSHEER/REUSSER/GEISER, a.a.O., N. 37 zu Art. 164 ZGB ; a. M. SCHWAGER, Der ausserordentliche Güterstand/Die Betreibung von Ehegatten/Der Schutz der Gläubiger gemäss Art. 193 ZGB , in: Hangartner (Hrsg.), Das neue Eherecht, VSIV Bd. 26, St. Gallen 1987, S. 247). Zu beachten bleibt allerdings, dass diese Beträge zweckgebunden sind und die Pfändung deshalb nicht möglich ist, wenn durch sie der Zweck vereitelt wird. Deshalb ist es namentlich nicht zulässig, Forderungen nach Art. 164 ZGB für voreheliche Schulden zu pfänden ( BGE 114 III 87 f.; a. M. ISAAK MEIER, SJZ 85 (1989), S. 242 und wohl auch HEGNAUER, Grundriss des Eherechts, Rz. 16.47, die dem besonderen Zweck von Art. 164 im Rahmen des ehelichen Unterhaltes und der persönlichen Bedürfnisse des Ehegatten zu wenig Rechnung tragen, im Ergebnis vielmehr von einer allgemeinen vermögensrechtlichen Umverteilung unter Ehegatten ausgehen). Art. 164 ZGB bezweckt, dem haushaltführenden, kinderbetreuenden oder im Beruf oder Gewerbe des anderen mitarbeitenden Ehegatten die Befriedigung der persönlichen Bedürfnisse im gleichen erweiterten Rahmen des ehelichen Unterhaltes zu ermöglichen wie seinem Ehepartner ( BGE 114 III 81 ). Die Unterhaltspflicht gegenüber einem nichtgemeinsamen Kind stellt aber kein persönliches Bedürfnis im Sinne dieser Bestimmung dar. Es handelt sich vielmehr um eine gesetzliche Pflicht. Eine Pfändung der auf Art. 164 ZGB gründenden Leistungen für eine Unterhaltsschuld würde den Anspruch seinem Zweck entfremden und ist BGE 115 III 103 S. 108 deshalb nicht zulässig. Mit Recht hat somit das Betreibungsamt keine Forderung nach Art. 164 ZGB gepfändet. Ist eine Pfändung des Anspruchs nach Art. 164 ZGB für die in Betreibung gesetzte Forderung vom Zweck her nicht zulässig, erübrigt es sich zu prüfen, ob die wirtschaftlichen Verhältnisse der Ehegatten einen entsprechenden Anspruch überhaupt zulassen.</w:t>
      </w:r>
    </w:p>
    <w:p>
      <w:r>
        <w:rPr>
          <w:b/>
        </w:rPr>
        <w:t>E. 7</w:t>
      </w:r>
    </w:p>
    <w:p>
      <w:r>
        <w:t>Zusammenfassend ist somit festzuhalten, dass der Betreibungsbeamte zu Recht davon ausgegangen ist, der Schuldner habe kein Erwerbseinkommen und es bestehe keine für die in Betreibung gesetzte Schuld pfändbare eherechtliche Unterhaltsforderung gegenüber der Ehefrau des Schuldners. Eine Aufteilung des Notbedarfs der Ehegatten H.-H. ist unter diesen nicht notwendig. Somit stellt sich - entgegen der Auffassung der Rekurrentin - die Frage gar nicht, ob ihre Unterhaltsforderung beim Schuldner als Teil des Notbedarfes zu berücksichtigen sei. Nicht weiter zu prüfen bleibt daher auch, ob die Betrachtungsweise der Rekurrentin zutrifft, wonach die Alimente, soweit sie für den Notbedarf des Gläubigers erforderlich sind, zum ehelichen Notbedarf gezählt werden, Obgleich nur der eine Ehegatte Alimentenschuldner ist (so ISAAK MEIER, Neues Eherecht und Schuldbetreibungsrecht, Zürich 1987, S. 118). Es sei immerhin vermerkt, dass diese Betrachtungsweise dazu führen dürfte, dass die nicht privilegierten Gläubiger beider Ehegatten hinter den Alimentengläubiger nur eines Partners zurückzutreten hätten. Die Alimentenschuld des einen Ehegatten würde den Notbedarf und damit den nach Art. 93 SchKG unpfändbaren Teil des Einkommens des anderen Ehegatten erhöhen. Das dürfte sich aber in dem Umfange nicht rechtfertigen, wie die Alimentenschuld des einen Ehegatten gemäss den Ausführungen unter Erwägung 4 nicht zum ehelichen Unterhalt gehört. Solange das Einkommen eines Ehegatten ausreicht, den Notbedarf vollständig zu decken, dürfte es diesfalls vielmehr als angemessen erscheinen, die Alimentenschuld zwar nicht zum gemeinsamen Notbedarf zu rechnen, dafür aber das für die Aufteilung massgebliche Einkommen des Pflichtigen um diesen Betrag zu vermindern. Dispositiv Demnach erkennt die Schuldbetreibungs- und Konkurskammer: Der Rekurs wird abgewiesen und der Entscheid der Kantonalen Aufsichtsbehörde für Schuldbetreibung und Konkurs des Kantons St. Gallen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