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157 vom 1. Januar 1989</w:t>
      </w:r>
    </w:p>
    <w:p>
      <w:r>
        <w:t>Bundesgericht (BGE), 1989-01-01, DE</w:t>
      </w:r>
    </w:p>
    <w:p>
      <w:r>
        <w:rPr>
          <w:b/>
        </w:rPr>
        <w:t xml:space="preserve">Quelle: </w:t>
      </w:r>
      <w:r>
        <w:t>https://mcp.opencaselaw.ch/entscheid/bge_BGE_115_IB_157</w:t>
      </w:r>
    </w:p>
    <w:p>
      <w:r>
        <w:t>FR: BGE BGE 115 IB 157 du 1 janvier 1989</w:t>
      </w:r>
    </w:p>
    <w:p>
      <w:r>
        <w:t>IT: BGE BGE 115 IB 157 del 1 gennaio 1989</w:t>
      </w:r>
    </w:p>
    <w:p>
      <w:pPr>
        <w:pStyle w:val="Heading2"/>
      </w:pPr>
      <w:r>
        <w:t>Regeste</w:t>
      </w:r>
    </w:p>
    <w:p>
      <w:r>
        <w:t>Regeste Führerausweisentzug. 1. Bei Warnungsentzügen kann die aufschiebende Wirkung verweigert werden, wenn die angeordnete Administrativmassnahme offensichtlich begründet und die Beschwerde aussichtslos ist. 2. Es verstösst nicht gegen Bundesrecht, wenn die Administrativbehörde die Entzugsdauer mit dem Datum des zur Massnahme führenden Vorfalls beginnen lässt. Das Bundesrecht schreibt auch nicht vor, dass der Ausweis nach der Abnahme durch die Polizei dem Betroffenen zunächst wieder ausgehändigt werden muss.</w:t>
      </w:r>
    </w:p>
    <w:p>
      <w:r>
        <w:t>Regeste Retrait de permis. 1. En cas de retrait d'admonestation, l'effet suspensif peut être refusé, lorsque la mesure est visiblement justifiée et le recours voué à l'échec. 2. L'autorité administrative ne viole pas le droit fédéral en fixant la durée du retrait dès le moment où l'acte justifiant la mesure est intervenu. Le droit fédéral n'exige nullement que le permis saisi par la police soit restitué à l'intéressé avant la décision administrative.</w:t>
      </w:r>
    </w:p>
    <w:p>
      <w:r>
        <w:t>Regesto Revoca della licenza di condurre. 1. In caso di revoca a scopo di ammonimento, l'effetto sospensivo può essere negato ove il provvedimento sia manifestamente giustificato e il ricorso privo di possibilità di successo. 2. Non viola il diritto federale l'autorità che determina la durata della revoca dal momento in cui è intervenuto l'atto giustificativo del provvedimento. Il diritto federale non esige che la licenza sequestrata dalla polizia sia restituita all'interessato prima della decisione amministrativa.</w:t>
      </w:r>
    </w:p>
    <w:p>
      <w:pPr>
        <w:pStyle w:val="Heading2"/>
      </w:pPr>
      <w:r>
        <w:t>Erwägungen</w:t>
      </w:r>
    </w:p>
    <w:p>
      <w:r>
        <w:rPr>
          <w:b/>
        </w:rPr>
        <w:t>E. 1</w:t>
      </w:r>
    </w:p>
    <w:p>
      <w:r>
        <w:t>J. wird vorgeworfen, am 11. April 1989, um ca. 23.45 Uhr, in Bern ein Fahrzeug in angetrunkenem Zustand gelenkt zu haben. Das Strassenverkehrs- und Schiffahrtsamt des Kantons Bern entzog ihm deswegen am 20. April 1989 den Führerausweis für die gesetzliche Minimaldauer von zwei Monaten ( Art. 17 Abs. 1 lit. b SVG ); im Entscheid wurde unter Hinweis auf Art. 33 des bernischen Gesetzes über die Verwaltungsrechtspflege (VPRG) festgestellt, einer allfälligen Beschwerde komme keine aufschiebende Wirkung zu. Gegen diese Verfügung erhob J. Beschwerde, wobei er unter anderem den Antrag stellte, dem Rechtsmittel sei die aufschiebende Wirkung zu gewähren. Am 5. Mai 1989 entschied die Rekurskommission des Kantons Bern für Massnahmen gegenüber Fahrzeugführern, die aufschiebende Wirkung werde verweigert. J. führt Verwaltungsgerichtsbeschwerde beim Bundesgericht mit den Anträgen, es sei die Verfügung der Rekurskommission aufzuheben und der gegen den erstinstanzlichen Entscheid gerichteten Beschwerde sei die aufschiebende Wirkung zu erteilen; zudem sei das Strassenverkehrs- und Schiffahrtsamt anzuweisen, dem Beschwerdeführer den Führerausweis bis zum Vorliegen eines rechtskräftigen Entscheids vorläufig zurückzugeben.</w:t>
      </w:r>
    </w:p>
    <w:p>
      <w:r>
        <w:rPr>
          <w:b/>
        </w:rPr>
        <w:t>E. 2</w:t>
      </w:r>
    </w:p>
    <w:p>
      <w:r>
        <w:t>Während bei Sicherungsentzügen die aufschiebende Wirkung grundsätzlich verweigert werden soll, hat das Bundesgericht aus dem spezifischen Zweck der Entzugsarten darauf geschlossen, dass bei Warnungsentzügen - und um einen solchen handelt es sich im vorliegenden Fall - die aufschiebende Wirkung regelmässig zu gewähren ist ( BGE 107 Ib 397 /8 mit Hinweisen). Bestehen sachliche Gründe, kann von dieser Regel jedoch abgewichen werden. Eine Ausnahme ist beispielsweise angezeigt, wenn der angeordnete Warnungsentzug offensichtlich begründet und die Beschwerde aussichtslos ist ( BGE 107 Ib 399 mit Hinweis). Der Beschwerdeführer bestreitet nicht, ein Motorfahrzeug in angetrunkenem Zustand gelenkt zu haben. Die Angetrunkenheit wurde denn auch durch die Blutuntersuchung bewiesen, die ein Resultat von 1,15 Gew.-0/00 ergab. Bei dieser Sachlage ist der ausgesprochene Führerausweisentzug von zwei Monaten offensichtlich begründet. Die erste Instanz hat die gemäss Art. 17 Abs. 1 lit. b SVG obligatorische Mindestentzugsdauer verfügt, so dass der Hinweis des Beschwerdeführers auf seine berufliche Notwendigkeit, BGE 115 Ib 157 S. 159 ein Motorfahrzeug zu lenken, unbeachtlich ist. Er vermag denn auch nicht darzulegen, inwieweit das kantonale Rechtsmittel Aussicht auf Erfolg haben sollte. Bei dieser Sachlage ist nicht zu sehen, warum die Vorinstanz die aufschiebende Wirkung hätte gewähren müssen. Der Beschwerdeführer wirft die Frage auf, zu welchem Zeitpunkt der Warnungsentzug zu vollziehen ist. Der Ausweis wurde am 11. April 1989 durch die Polizei abgenommen, und es ist nicht zu beanstanden, dass das Strassenverkehrs- und Schiffahrtsamt, welches bereits neun Tage später entschied, die Entzugsdauer mit dem Tag der Trunkenheitsfahrt beginnen liess. Das Bundesrecht schreibt jedenfalls nicht vor, dass der Ausweis nach der Abnahme durch die Polizei dem Betroffenen wieder ausgehändigt werden muss (vgl. Art. 39 VZV ). Dies ergibt sich insbesondere nicht aus den vom Beschwerdeführer erwähnten Art. 54 Abs. 2 SVG und 38 Abs. 1 VZV; diese Bestimmungen regeln nur die Frage, wann die Polizei den Führerausweis abnehmen darf, und sagen nichts darüber aus, ab wann die Administrativmassnahme zu beginnen hat. Bis zum Entscheid der Entzugsbehörde hat gemäss Art. 54 Abs. 4 SVG die polizeiliche Abnahme eines Ausweises die Wirkung des Entzugs. Der Beschwerdeführer verkennt, dass heute nicht eine vorsorgliche Abnahme des Ausweises durch die Polizei zu beurteilen ist, sondern bereits eine durch die zuständige erstinstanzliche kantonale Administrativbehörde verfügte Massnahme vorliegt. Schliesslich verweist er zu Unrecht auf den Grundsatz der Verhältnismässigkeit und seine berufliche Notwendigkeit, ein Fahrzeug zu lenken, denn es ist nicht zu sehen, inwieweit er ohne Auto nicht in der Lage gewesen wäre, "mit seinem Arbeitgeber frühzeitig Dispositionen zu treffen und eventuell einen Chauffeur zu organisieren". Von einer willkürlichen Verfügung, die den Hauptentscheid in unzulässiger Art präjudiziert, kann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