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89 vom 1. Januar 1989</w:t>
      </w:r>
    </w:p>
    <w:p>
      <w:r>
        <w:t>Bundesgericht (BGE), 1989-01-01, DE</w:t>
      </w:r>
    </w:p>
    <w:p>
      <w:r>
        <w:rPr>
          <w:b/>
        </w:rPr>
        <w:t xml:space="preserve">Quelle: </w:t>
      </w:r>
      <w:r>
        <w:t>https://mcp.opencaselaw.ch/entscheid/bge_BGE_115_IA_89</w:t>
      </w:r>
    </w:p>
    <w:p>
      <w:r>
        <w:t>FR: BGE BGE 115 IA 89 du 1 janvier 1989</w:t>
      </w:r>
    </w:p>
    <w:p>
      <w:r>
        <w:t>IT: BGE BGE 115 IA 89 del 1 gennaio 1989</w:t>
      </w:r>
    </w:p>
    <w:p>
      <w:pPr>
        <w:pStyle w:val="Heading2"/>
      </w:pPr>
      <w:r>
        <w:t>Regeste</w:t>
      </w:r>
    </w:p>
    <w:p>
      <w:r>
        <w:t>Regeste Art. 4 BV, Art. 4 RPG, Art. 58 BauG BE; Information und Mitwirkung der Bevölkerung bei der Raumplanung. Die durch Art. 4 RPG vorgesehene Mitwirkung der Bevölkerung bei der Raumplanung wird im Kanton Bern in Art. 58 BauG geregelt. Können aus Art. 4 BV weiterreichende Mitwirkungs- oder Informationsansprüche abgeleitet werden? (E. 2).</w:t>
      </w:r>
    </w:p>
    <w:p>
      <w:r>
        <w:t>Regeste Art. 4 Cst., art. 4 LAT, art. 58 LConstr. BE; information et participation de la population en matière d'aménagement du territoire. La participation de la population prévue par l'art. 4 LAT est réglée, dans le canton de Berne, par l'art. 58 LConstr. L'art. 4 Cst. confère-t-il des droits plus étendus à l'information et à la participation? (consid. 2).</w:t>
      </w:r>
    </w:p>
    <w:p>
      <w:r>
        <w:t>Regesto Art. 4 Cost., art. 4 LPT, art. 58 legge edilizia bernese; informazione e partecipazione della popolazione in materia di pianificazione del territorio. La partecipazione della popolazione prevista dall'art. 4 LPT è disciplinata, nel cantone di Berna, dall'art. 58 della legge edilizia cantonale. Sono deducibili dall'art. 4 Cost. diritti d'informazione e di partecipazione più estesi? (consid. 2).</w:t>
      </w:r>
    </w:p>
    <w:p>
      <w:pPr>
        <w:pStyle w:val="Heading2"/>
      </w:pPr>
      <w:r>
        <w:t>Erwägungen</w:t>
      </w:r>
    </w:p>
    <w:p>
      <w:r>
        <w:rPr>
          <w:b/>
        </w:rPr>
        <w:t>E. 2</w:t>
      </w:r>
    </w:p>
    <w:p>
      <w:r>
        <w:t>Die Mitwirkung ist bezüglich der Richtpläne, der baurechtlichen Grundordnung und der Überbauungsordnungen sowie für die nicht geringfügige Änderung dieser Vorschriften und Pläne zu gewähren. BGE 115 Ia 89 S. 93 Sie kann eingeräumt werden, a) indem vorgesehene Planungen an der Gemeindeversammlung oder an besonderen Orientierungsversammlungen zur Diskussion gestellt werden; b) indem die Unterlagen über vorgesehene Planungen während einer angemessenen Mitwirkungsfrist öffentlich aufgelegt werden; c) bei vorgesehenen Änderungen der Grundordnung oder einer Überbauungsordnung, die nicht von allgemeinem Interesse sind, auch im Rahmen des Einspracheverfahrens nach Artikel 60.</w:t>
      </w:r>
    </w:p>
    <w:p>
      <w:r>
        <w:rPr>
          <w:b/>
        </w:rPr>
        <w:t>E. 3</w:t>
      </w:r>
    </w:p>
    <w:p>
      <w:r>
        <w:t>Im Rahmen der Mitwirkung können Einwendungen erhoben und Anregungen unterbreitet werden. Sie sind den für Beschluss und für Genehmigung zuständigen Behörden in Form des Versammlungsprotokolls oder eines zusammenfassenden Mitwirkungsberichtes zur Kenntnis zu bringen. Protokoll und Bericht sind öffentlich.</w:t>
      </w:r>
    </w:p>
    <w:p>
      <w:r>
        <w:rPr>
          <w:b/>
        </w:rPr>
        <w:t>E. 4</w:t>
      </w:r>
    </w:p>
    <w:p>
      <w:r>
        <w:t>Die Gemeinden und die Regionen können ein weitergehendes Mitwirkungsverfahren durchführen. Insbesondere können die Gemeindebehörden die Quartierbevölkerung zur Lösung von Fragen der Quartierplanung heranziehen." b) Der Regierungsrat führt dazu im wesentlichen aus, die Mitwirkung beziehe sich auf Behördenplanungen; Gemeindeinitiativen in Planungssachen in Form eines ausgearbeiteten Entwurfs seien nicht Gegenstand des Mitwirkungsverfahrens. Hier gebe es ohnehin eine gewisse Öffentlichkeitsarbeit durch die Unterschriftensammlung. Zudem sei der Text unabänderlich. Ob der Initiative ein Gegenvorschlag gegenüberzustellen sei, könne der Gemeinderat auch ohne die Resultate eines Mitwirkungsverfahrens entscheiden. Zweck des Mitwirkungsverfahrens sei nicht der individuelle Rechtsschutz. Ein über Art. 4 BV und Art. 33 und 34 RPG hinausgehender individueller Gehörsanspruch lasse sich aus den Vorschriften über das Mitwirkungsverfahren nicht ableiten. Der von den Beschwerdeführern angeführte BGE 111 Ia 164 ff. betreffe keinen vergleichbaren Fall. Während dort der Abänderungsantrag an der Gemeindeversammlung selbst gestellt worden sei, sei hier ein ordentliches Auflageverfahren mit Einsprachemöglichkeit durchgeführt worden. Der Gemeinderat habe der Versammlung vorschriftsgemäss den wesentlichen Inhalt der Einsprachepunkte bekanntgegeben. Die Gemeinde teilt diese Auffassung. Das Verfahren sei vollständig und richtig durchgeführt worden. Die Beschwerdeführer hätten sich durch Einsprache und an der darauffolgenden Einspracheverhandlung BGE 115 Ia 89 S. 94 äussern können. Über die Ergebnisse sei an der Gemeindeversammlung orientiert worden. Ein allfälliger Mangel sei durch den Einspracheentscheid geheilt worden. Vor allem aber könne eine Gemeindeinitiative in Form eines ausgearbeiteten Entwurfs nicht Gegenstand des Mitwirkungsverfahrens sein. Dieses diene vorab der Grundlagenbeschaffung; dazu sei bei der ausformulierten Initiative kein Raum gewesen. Es bestehe kein über Art. 33 und 34 RPG hinausgehender Anspruch aus Art. 4 BV . c) Die Beschwerdeführer behaupten nicht, die ihnen zustehenden Rechtsschutzansprüche (insbesondere aus Art. 33 RPG ) seien verletzt worden. Vielmehr machen sie geltend, aufgrund von Art. 4 BV stünden ihnen bestimmte weiterreichende politische Mitwirkungsrechte zu. Diese erlaubten es ihnen, die politische Meinungsbildung zu beeinflussen, d. h. sich nicht nur indirekt - via Einsprache - an die Behörde, sondern direkt - via Orientierungs- oder Gemeindeversammlung - an die Stimmbürger zu wenden. Da die Beschwerdeführer nicht vorbringen, die kantonalgesetzliche Konkretisierung des bundesrechtlichen Mitwirkungsgebots sei bundesrechtswidrig, bleibt lediglich zu prüfen, ob diese kantonalrechtlichen Anforderungen eingehalten sind. d) Das kantonale Recht gestattet es, die Unterlagen über vorgesehene Planungen während einer angemessenen Mitwirkungsfrist öffentlich aufzulegen (Art. 58 Abs. 2 lit. b BauG). Es wird nicht gerügt, diese Vorschrift sei nicht eingehalten worden. Ein Einspracheverfahren fand statt, ebenso eine Einspracheverhandlung. Die entsprechenden Einwendungen sind in der Gemeindeversammlung jedenfalls erwähnt worden. Die Beschwerdeführer rügen ebensowenig, das Mitwirkungsverfahren sei inhaltlich mit Fehlern behaftet gewesen, weshalb eine Verletzung des baugesetzlichen Mitwirkungsgebots nicht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