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311 vom 1. Januar 1989</w:t>
      </w:r>
    </w:p>
    <w:p>
      <w:r>
        <w:t>Bundesgericht (BGE), 1989-01-01, DE</w:t>
      </w:r>
    </w:p>
    <w:p>
      <w:r>
        <w:rPr>
          <w:b/>
        </w:rPr>
        <w:t xml:space="preserve">Quelle: </w:t>
      </w:r>
      <w:r>
        <w:t>https://mcp.opencaselaw.ch/entscheid/bge_BGE_115_IA_311</w:t>
      </w:r>
    </w:p>
    <w:p>
      <w:r>
        <w:t>FR: BGE BGE 115 IA 311 du 1 janvier 1989</w:t>
      </w:r>
    </w:p>
    <w:p>
      <w:r>
        <w:t>IT: BGE BGE 115 IA 311 del 1 gennaio 1989</w:t>
      </w:r>
    </w:p>
    <w:p>
      <w:pPr>
        <w:pStyle w:val="Heading2"/>
      </w:pPr>
      <w:r>
        <w:t>Regeste</w:t>
      </w:r>
    </w:p>
    <w:p>
      <w:r>
        <w:t>Regeste Art. 87 OG; Beschwerde gegen einen Zwischenentscheid. 1. Überweisungsbeschlüsse in Strafsachen sind Zwischenentscheide im Sinne von Art. 87 OG (E. 2a). 2. Die Beschränkung nach Art. 87 OG gilt grundsätzlich nicht bei Entscheiden über gerichtsorganisatorische Fragen, die endgültig zu erledigen sind, bevor das Verfahren weitergeführt werden kann; Fälle, bei denen Art. 87 OG dennoch anwendbar ist (E. 2a). 3. Werden neben Art. 4 BV weitere Verfassungsrügen erhoben, so tritt das Bundesgericht auf die Beschwerde nur ein, wenn diese Rügen selbständige Bedeutung haben und nicht offensichtlich unzulässig oder unbegründet sind (E. 2b). 4. In der Überweisung einer Strafsache an ein Strafgericht liegt kein nicht wiedergutzumachender Nachteil (E. 2c).</w:t>
      </w:r>
    </w:p>
    <w:p>
      <w:r>
        <w:t>Regeste Art. 87 OJ; recours contre une décision incidente. 1. La décision de renvoi d'une cause pénale est une décision incidente au sens de l'art. 87 OJ (consid. 2a). 2. La condition restrictive de l'art. 87 OJ n'est en principe pas applicable à des décisions relatives à la composition ou à la compétence d'un tribunal, s'agissant de questions qui doivent être tranchées définitivement, sans attendre la poursuite du procès; cas dans lesquels l'art. 87 OJ est néanmoins applicable (consid. 2a). 3. Lorsque le recours est formé pour violation non seulement de l'art. 4 Cst. mais d'autres droits constitutionnels, le Tribunal fédéral n'entre en matière que si ces moyens ont une portée indépendante et ne sont pas manifestement irrecevables ou mal fondés (consid. 2b). 4. La décision de renvoi devant une autorité pénale de jugement ne cause pas de dommage irréparable (consid. 2c).</w:t>
      </w:r>
    </w:p>
    <w:p>
      <w:r>
        <w:t>Regesto Art. 87 OG; ricorso contro una decisione incidentale. 1. La decisione di rinvio a giudizio dinanzi a un'autorità penale costituisce una decisione incidentale ai sensi dell'art. 87 OG (consid. 2a). 2. La condizione restrittiva dell'art. 87 OG non si applica, in linea di principio, a decisioni relative all'organizzazione dei tribunali che devono essere risolte definitivamente prima che sia proseguito il procedimento; casi in cui l'art. 87 OG è nondimeno applicabile (consid. 2a). 3. Ove il ricorso sia proposto per violazione non solo dell'art. 4 Cost. ma anche di altri diritti costituzionali, il Tribunale federale entra nel merito di tali censure solo se hanno portata propria e non siano manifestamente inammissibili o infondate (consid. 2b). 4. La decisione di rinvio a giudizio dinanzi a un'autorità penale non causa un danno irreparabile (consid. 2c).</w:t>
      </w:r>
    </w:p>
    <w:p>
      <w:pPr>
        <w:pStyle w:val="Heading2"/>
      </w:pPr>
      <w:r>
        <w:t>Erwägungen</w:t>
      </w:r>
    </w:p>
    <w:p>
      <w:r>
        <w:rPr>
          <w:b/>
        </w:rPr>
        <w:t>E. 1</w:t>
      </w:r>
    </w:p>
    <w:p>
      <w:r>
        <w:t>Das Bundesgericht prüft die Zulässigkeit einer staatsrechtlichen Beschwerde von Amtes wegen und mit freier Kognition ( BGE 114 Ia 308 ; BGE 113 Ia 394 E. 2).</w:t>
      </w:r>
    </w:p>
    <w:p>
      <w:r>
        <w:rPr>
          <w:b/>
        </w:rPr>
        <w:t>E. 2</w:t>
      </w:r>
    </w:p>
    <w:p>
      <w:r>
        <w:t>a) Beim angefochtenen Beschluss des Obergerichts vom 8. Juni 1988 handelt es sich um einen kantonal letztinstanzlichen Entscheid, da das Kassationsgericht auf die Nichtigkeitsbeschwerde nicht eingetreten ist. Dieser Obergerichtsentscheid schliesst indessen das kantonale Verfahren nicht ab; die Sache wurde vielmehr in Bestätigung des Beschlusses der Anklagekammer des Obergerichts vom 9. Mai 1988 dem Geschworenengericht zur Beurteilung überwiesen. Es handelt sich somit um einen Zwischenentscheid ( BGE 114 Ia 180 ; BGE 98 Ia 327 f.; unveröffentlichtes Urteil des Bundesgerichts vom 28. Januar 1988 i.S. L. c. Obergericht des Kantons Zürich, E. 5). Nach Art. 87 OG können letztinstanzliche Zwischenentscheide beim Bundesgericht wegen Verletzung von Art. 4 BV nur dann angefochten werden, wenn sie für den Betroffenen einen nicht wiedergutzumachenden Nachteil zur Folge haben. Indessen gilt diese Beschränkung nach der Rechtsprechung nicht für alle Entscheide, die im Verlaufe eines Verfahrens ergehen und die äusserlich als Zwischenentscheide zu betrachten sind. Als Ausnahmen werden nach der Praxis Entscheide über gerichtsorganisatorische Fragen betrachtet, die ihrer Natur nach endgültig zu erledigen sind, bevor das Verfahren weitergeführt werden kann ( BGE 106 Ia 233 E. 3a; BGE 94 I 201 , je mit Hinweisen). Die direkte Anfechtbarkeit wird zum einen aus Gründen der Prozessökonomie und Zweckmässigkeit und zum andern wegen des wohlverstandenen Interesses der Gegenpartei, dass der Beschwerdeführer sofort handle und nicht den Endentscheid abwarte, begründet ( BGE 94 I 201 ). In diesem Sinne fallen beispielsweise Entscheide über die Zusammensetzung des Gerichts und solche über die örtliche und sachliche Zuständigkeit nicht unter Art. 87 OG ( BGE 94 I 201 ; WALTER KÄLIN, Das Verfahren der staatsrechtlichen Beschwerde, Bern 1984, S. 291; PETER LUDWIG, Endentscheid, Zwischenentscheid und Letztinstanzlichkeit im staatsrechtlichen Beschwerdeverfahren, in ZBJV 110/1974 S. 185). Entscheide, bei denen es um die funktionelle Zuständigkeit geht, zählen nicht zu diesen Ausnahmefällen; für sie ist deshalb Art. 87 OG anwendbar (vgl. unveröffentlichtes Urteil des Bundesgerichts vom 5. Dezember 1988 i.S. C., E. 2a). Im vorliegenden Fall geht es um die Frage, BGE 115 Ia 311 S. 314 welches erstinstanzliche Strafgericht zur Beurteilung einer Strafsache zuständig sein soll: das Geschworenengericht oder das Bezirksgericht. In Fällen dieser Art bestehen keine hinreichenden Gründe, von der Anwendbarkeit von Art. 87 OG abzusehen. Die Eintretensfrage richtet sich daher nach dieser Bestimmung (unveröffentlichtes Urteil des Bundesgerichts vom 15. Juni 1989 i.S. N.). b) Wie erwähnt, sind staatsrechtliche Beschwerden wegen Verletzung von Art. 4 BV gegen letztinstanzliche Zwischenentscheide nur zulässig, wenn sie für den Betroffenen einen nicht wiedergutzumachenden Nachteil zur Folge haben ( Art. 87 OG ). Beschwerden, die sich auf andere verfassungsmässige Rechte oder auf die EMRK ( BGE 106 IV 87 E. b) stützen, sind indessen auch gegen Zwischenentscheide ohne Einschränkung zulässig ( Art. 86 OG ). Werden neben der Verletzung von Art. 4 BV noch weitere Beschwerdegründe vorgebracht, so tritt das Bundesgericht auf die Beschwerde in vollem Umfang ein, allerdings nur dann, wenn die neben einer Verletzung von Art. 4 BV geltend gemachte Verfassungsrüge nicht mit der Willkürrüge zusammenfällt, somit selbständige Bedeutung hat, und nicht offensichtlich unzulässig oder unbegründet ist ( BGE 114 Ia 180 ; BGE 106 Ia 227 E. 1, 231 E. 2a; BGE 104 Ia 107 E. 2b; Urteil des Bundesgerichts vom 10. März 1982, publiziert in ZBl 83/1982 S. 324 E. 2a; CLAUDE ROUILLER, La protection de l'individu contre l'arbitraire de l'Etat, in ZSR 1987 II S. 378). Der Beschwerdeführer stützt sich neben Art. 4 BV auch auf Art. 58 BV und Art. 6 Ziff. 1 EMRK . Er rügt im Zusammenhang mit diesen Bestimmungen jedoch nur eine willkürliche Anwendung des kantonalen Strafrechts; der Berufung auf Art. 58 BV und Art. 6 Ziff. 1 EMRK kommt daher keine selbständige Bedeutung zu. Unter diesen Umständen ist zu prüfen, ob der angefochtene Beschluss für den Beschwerdeführer einen nicht wiedergutzumachenden Nachteil zur Folge hat. c) Nach ständiger Rechtsprechung des Bundesgerichts bedarf es eines nicht wiedergutzumachenden Nachteils rechtlicher Natur, um einen Zwischenentscheid im Sinne von Art. 87 OG mit staatsrechtlicher Beschwerde wegen Verletzung von Art. 4 BV anfechten zu können; eine bloss tatsächliche Beeinträchtigung wie beispielsweise eine Verlängerung oder Verteuerung des Verfahrens genügt nicht ( BGE 108 Ia 204 E. 1a mit Hinweisen). Der Nachteil ist nur dann rechtlicher Art, wenn er auch durch einen für den Beschwerdeführer günstigen Endentscheid nicht mehr behoben werden könnte ( BGE 108 Ia 204 E. 1; BGE 106 Ia 234 ). BGE 115 Ia 311 S. 315 Entgegen der Auffassung des Beschwerdeführers ist im vorliegenden Fall kein nicht wiedergutzumachender Nachteil im dargelegten Sinn anzunehmen. Das Bundesgericht hat seit dem Urteil BGE 63 I 313 ff. immer daran festgehalten, dass in der Überweisung einer Strafsache an ein Strafgericht kein solcher Nachteil liege. Der Beurteilung der Schuldfrage wird nicht vorgegriffen; sie bleibt dem Strafrichter vorbehalten. Die vom Beschwerdeführer befürchteten, durch ein gerichtliches Verfahren hervorgerufenen Beeinträchtigungen können zu keinem anderen Ergebnis führen, zumal der Beschwerdeführer nicht dartut, inwieweit ihm dadurch ein Nachteil rechtlicher Natur erwachse. Der Beschwerdeführer bringt auch weiter nichts vor, was geeignet wäre, die ständige Rechtsprechung des Bundesgerichts in Zweifel zu ziehen. So wird denn auch in der Literatur die Rechtsprechung in bezug auf Überweisungsbeschlüsse in keiner Weise kritisiert (vgl. WALTER KÄLIN, a.a.O., S. 293; PETER LUDWIG, a.a.O., S. 170 f. und 183). Demnach ist auch im vorliegenden Fall im Umstand, dass die Anklage zugelassen und die Strafsache des Beschwerdeführers an das Geschworenengericht überwiesen worden ist, kein nicht wiedergutzumachender Nachteil im Sinne von Art. 87 OG zu erblicken.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