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12 vom 1. Januar 1989</w:t>
      </w:r>
    </w:p>
    <w:p>
      <w:r>
        <w:t>Bundesgericht (BGE), 1989-01-01, DE</w:t>
      </w:r>
    </w:p>
    <w:p>
      <w:r>
        <w:rPr>
          <w:b/>
        </w:rPr>
        <w:t xml:space="preserve">Quelle: </w:t>
      </w:r>
      <w:r>
        <w:t>https://mcp.opencaselaw.ch/entscheid/bge_BGE_115_IA_12</w:t>
      </w:r>
    </w:p>
    <w:p>
      <w:r>
        <w:t>FR: BGE BGE 115 IA 12 du 1 janvier 1989</w:t>
      </w:r>
    </w:p>
    <w:p>
      <w:r>
        <w:t>IT: BGE BGE 115 IA 12 del 1 gennaio 1989</w:t>
      </w:r>
    </w:p>
    <w:p>
      <w:pPr>
        <w:pStyle w:val="Heading2"/>
      </w:pPr>
      <w:r>
        <w:t>Regeste</w:t>
      </w:r>
    </w:p>
    <w:p>
      <w:r>
        <w:t>Regeste Art. 4 BV, Willkür. Wendet eine kantonale Behörde in Ermangelung einer ausdrücklichen kantonalen Regelung die Praxis des Bundesgerichts zum Fristbeginn bei eingeschriebenen Briefpostsendungen als kantonales Recht an, so ist das Ergebnis im staatsrechtlichen Beschwerdeverfahren nur auf Willkür hin zu prüfen (E. 3a). Art. 4 BV, Recht auf Vertrauensschutz - Rechtsmittelfrist. Stellt eine Behörde ihren Entscheid, der eine vorbehaltlose Rechtsmittelbelehrung enthält, noch innerhalb der ordentlichen Rechtsmittelfrist, welche durch einen ersten erfolglosen Zustellungsversuch ausgelöst worden ist, zu, so kann sich aufgrund des verfassungsmässigen Rechts auf Vertrauensschutz die Rechtsmittelfrist verlängern, sofern alle notwendigen Bedingungen dazu erfüllt sind (E. 4).</w:t>
      </w:r>
    </w:p>
    <w:p>
      <w:r>
        <w:t>Regeste Art. 4 Cst., arbitraire. Lorsqu'en l'absence d'une règle cantonale expresse, l'autorité cantonale applique les règles définies dans la jurisprudence du Tribunal fédéral pour déterminer le point de départ du délai pour recourir en cas de notification par pli postal recommandé, la décision cantonale n'est examinée dans la procédure du recours de droit public que sous l'angle de l'arbitraire (consid. 3a). Art. 4 Cst., droit à la protection de la confiance - Délai pour recourir. Lorsque l'autorité notifie à nouveau une décision contenant une indication sans réserve des voies de droit encore dans le délai qui a commencé à courir à la suite d'une première notification infructueuse, le délai pour recourir est compté dès la seconde notification, pour autant que les conditions relatives à l'application du principe constitutionnel de la protection de la confiance soient remplies (consid. 4).</w:t>
      </w:r>
    </w:p>
    <w:p>
      <w:r>
        <w:t>Regesto Art. 4 Cost., arbitrio. Ove, in assenza di una disciplina cantonale espressa, l'autorità applica le norme risultanti dalla giurisprudenza del Tribunale federale per determinare il momento in cui decorre il termine ricorsuale in caso di notificazione a mezzo lettera raccomandata, la decisione cantonale è esaminata nella procedura relativa al ricorso di diritto pubblico solamente sotto il profilo dell'arbitrio (consid. 3a). Art. 4 Cost., diritto alla protezione della buona fede Termine ricorsuale. Se l'autorità notifica di nuovo una decisione contenente un'indicazione, priva di riserve, del rimedio giuridico prima che sia scaduto il termine che ha cominciato a correre in seguito ad una prima notificazione infruttuosa, il termine ricorsuale è computato a partire dalla seconda notificazione, sempreché siano adempiute le condizioni relative all'applicazione del principio costituzionale della protezione della buona fede (consid. 4).</w:t>
      </w:r>
    </w:p>
    <w:p>
      <w:pPr>
        <w:pStyle w:val="Heading2"/>
      </w:pPr>
      <w:r>
        <w:t>Erwägungen</w:t>
      </w:r>
    </w:p>
    <w:p>
      <w:r>
        <w:rPr>
          <w:b/>
        </w:rPr>
        <w:t>E. 1</w:t>
      </w:r>
    </w:p>
    <w:p>
      <w:r>
        <w:t>Die Eingabe des Beschwerdeführers ist als staatsrechtliche Beschwerde wegen Verletzung verfassungsmässiger Rechte der Bürger gemäss Art. 84 Abs. 1 lit. a OG zu behandeln, denn sie richtet sich gegen eine kantonale Verfügung, welche allein in Anwendung von kantonalem öffentlichem Recht ergangen ist und gegen die kein anderes Rechtsmittel des Bundes offensteht ( Art. 84 Abs. 1 und 2 OG ).</w:t>
      </w:r>
    </w:p>
    <w:p>
      <w:r>
        <w:rPr>
          <w:b/>
        </w:rPr>
        <w:t>E. 2</w:t>
      </w:r>
    </w:p>
    <w:p>
      <w:r>
        <w:t>Sowohl die Gemeinde Vaz/Obervaz wie auch die Rothornbahn und Scalottas AG vertreten die Auffassung, auf die staatsrechtliche Beschwerde könne wegen fehlender Begründung nicht eingetreten werden. a) Nach Art. 90 Abs. 1 OG muss eine staatsrechtliche Beschwerde ausser der Bezeichnung des angefochtenen Entscheides die Anträge enthalten (lit. a) sowie die wesentlichen Tatsachen und eine kurzgefasste Darlegung darüber, welche verfassungsmässigen Rechte bzw. welche Rechtssätze und inwiefern sie durch den angefochtenen Entscheid verletzt worden sind (lit. b). b) Roland Mathys richtet seine Beschwerde ausdrücklich gegen den Entscheid des Verwaltungsgerichts des Kantons Graubünden vom 23. Februar 1988, mit welchem das Gericht im ordentlichen Verfahren entschied, es werde auf seinen Rekurs vom 24. September 1987 nicht eingetreten, weil (1) die mit dem ersten erfolglosen Zustellungsversuch begonnene Rekursfrist nicht eingehalten worden sei, dass (2) die später tatsächlich erfolgte Zustellung keinen neuen Fristenlauf ausgelöst habe, und dass (3) die Behauptung des Rekurrenten, er habe eine falsche behördliche Auskunft erhalten, sich nicht habe bestätigen lassen. Zwar stellt der Beschwerdeführer keinen ausdrücklichen Antrag auf Aufhebung dieses kantonalen Urteils; in seiner Bitte, ihm zu helfen, damit im Kanton Graubünden auf seinen Rekurs eingetreten werden müsse, kann jedoch sinngemäss ein solches Begehren gesehen werden (vgl. BGE 52 I 224 E. 1). Seine Begründung ist zwar knapp, doch lässt sich aus ihr dennoch entnehmen, warum der angefochtene Entscheid gegen die Verfassung verstossen soll. Daran ändert nichts, dass er keine verfassungsmässigen Rechte ausdrücklich nennt; auch eine indirekte Berufung auf solche kann unter Umständen den Anforderungen von Art. 90 Abs. 1 lit. b OG genügen.</w:t>
      </w:r>
    </w:p>
    <w:p>
      <w:r>
        <w:rPr>
          <w:b/>
        </w:rPr>
        <w:t>E. 3</w:t>
      </w:r>
    </w:p>
    <w:p>
      <w:r>
        <w:t>Das Verwaltungsgericht führt im angefochtenen Entscheid aus, der Beschwerdeführer sei an einem hängigen Verfahren BGE 115 Ia 12 S. 15 beteiligt gewesen: Am 30. April 1987 habe er bei der Gemeinde Vaz/Obervaz Einsprache gegen ein Bauvorhaben der Rothornbahn erhoben. Aus diesem Grunde habe er mit der Zustellung des Einspracheentscheides rechnen müssen. Er hätte sich vor seinem Ferienantritt bei der Gemeinde erkundigen müssen, ob mit der Zustellung des Entscheides nächstens zu rechnen sei, und dafür sorgen müssen, dass ihm die Sendungen der Behörde nachgereicht würden, oder er hätte zumindest einen Zustellungsbevollmächtigten bzw. ein Zustellungsdomizil bezeichnen müssen. a) Das Verwaltungsgericht bezieht sich in Ermangelung einer ausdrücklichen kantonalen Regelung (vgl. Art. 9 in Verbindung mit Art. 2 des Gesetzes über das Verfahren in Verwaltungs- und Verfassungssachen vom 3. Oktober 1982, VVG; Art. 55 Abs. 1 und 2 des Gesetzes über die Verwaltungsgerichtsbarkeit im Kanton Graubünden vom 9. April 1967, VGG) auf die Praxis des Bundesgerichts, wonach eine eingeschriebene Briefpostsendung dann, wenn der Adressat nicht angetroffen wird und daher eine Abholungseinladung in seinen Briefkasten oder in sein Postfach gelegt wird, die Sendung in jenem Zeitpunkt als zugestellt zu gelten hat, in welchem sie auf der Post abgeholt wird; geschieht dies nicht innert der Abholfrist, die sieben Tage beträgt ( Art. 169 Abs. 1 lit. d und e der Verordnung (1) zum Postverkehrsgesetz vom 1. September 1967 [PVV, SR 783.01] ), so gilt die Sendung als am letzten Tag dieser Frist zugestellt ( BGE 111 V 101 E. 2b mit Hinweisen). Zu Recht nimmt das Gericht weiter an, dass diese Rechtsprechung nur dann massgebend ist, wenn die Zustellung eines behördlichen Aktes mit einer gewissen Wahrscheinlichkeit erwartet werden muss. Erst mit der Rechtshängigkeit entsteht ein Prozessrechtsverhältnis, welches die Parteien verpflichtet, sich nach Treu und Glauben zu verhalten, d. h. unter anderem dafür zu sorgen, dass ihnen Entscheide, welche das Verfahren betreffen, zugestellt werden können ( BGE 113 Ib 298 E. 2a; BGE 107 V 189 E. 2; BGE 97 III 10 E. 1; je mit Hinweisen). Diese Grundsätze werden nicht vom Bundesverfassungsrecht gewährleistet und bilden deshalb nicht Teil eines selbständigen, verfassungsmässigen Rechts. Das Bundesgericht hat somit nur zu prüfen, ob das Verwaltungsgericht sie als kantonales Recht in willkürlicher Weise angewandt hat (vgl. BGE 109 Ia 18 E. 4). Der Beschwerdeführer hat am 30. April 1987 "Einsprache zum Bauvorhaben der Rothornbahn &amp; Scallotas AG in Val Sporz und auf Tgantieni" erhoben. Er sandte diese Eingabe sowohl an den BGE 115 Ia 12 S. 16 Gemeindevorstand Vaz/Obervaz als auch an das Kreisamt Alvaschein. Bei dieser Sachlage ist es nicht willkürlich, wenn das Verwaltungsgericht zum Schluss gekommen ist, der Beschwerdeführer sei, als er in die Ferien reiste, an einem hängigen Verfahren vor dem Gemeindevorstand von Vaz/Obervaz beteiligt gewesen. Dass der Beschwerdeführer in seiner Eingabe vom 30. April 1987 die Adressaten ausdrücklich aufgefordert hatte, sie möchten selbst entscheiden, was an seiner Einsprache öffentlichrechtlicher und was privatrechtlicher Natur sei, vermag an dieser Beurteilung nichts zu ändern. Selbst ein Laie muss heute wissen, dass eine Behörde verpflichtet ist, über ein bei ihr eingereichtes Begehren auch dann zu befinden und den Antragsteller von der Art der Erledigung zu benachrichtigen, wenn sie sich als nicht zuständig erachtet (vgl. Art. 3 in Verbindung mit Art. 2 VVG ). Der Beschwerdeführer hatte somit mit der Zustellung eines Entscheides zu rechnen, und er hätte deshalb während seiner Abwesenheit die notwendigen Vorkehren treffen müssen. Er wendet zwar ein, er habe - anders als vom Kreisamt Alvaschein - vom Gemeindevorstand Vaz/Obervaz nie eine Bestätigung über den Empfang seiner Einsprache erhalten und auch sonst habe er von dieser Behörde nie etwas gehört, bis ihm am 8. September 1987 der Einspracheentscheid übergeben worden sei. Auch diese unterschiedliche Reaktion der Einspracheadressaten ist nicht geeignet, die Auffassung des Verwaltungsgerichts als völlig unhaltbar zu beurteilen. Der Beschwerdeführer bringt nicht vor, der Gemeindevorstand von Vaz/Obervaz sei gesetzlich verpflichtet gewesen, ihm den Eingang seiner Einsprache zu bestätigen. Gerade weil er von dieser Behörde zur Zeit seiner Abreise noch keinen Bescheid erhalten hatte, musste er davon ausgehen, ein solcher könnte ihm während seiner Abwesenheit zugehen. Das Verwaltungsgericht hat das Willkürverbot nicht verletzt, wenn es entschied, der Beschwerdeführer sei an einem vor dem Gemeindevorstand Vaz/Obervaz hängigen Verfahren beteiligt gewesen und er hätte deshalb für die Zeit seiner Abwesenheit dafür sorgen müssen, dass ihm die Sendungen der Behörde nachgereicht würden, oder er hätte zumindest einen Zustellungsbevollmächtigten bzw. ein Zustellungsdomizil bezeichnen müssen. Der Beschwerdeführer macht selbst nicht geltend, der von ihm der Post erteilte Nichtzustellungsauftrag habe unter den vorliegenden Umständen genügt, diese Pflicht zu erfüllen (vgl. auch BGE 113 Ib 89 E. 2 mit Hinweisen). BGE 115 Ia 12 S. 17 b) Der angefochtene Entscheid könnte auch dann gegen die Verfassung verstossen, wenn er sich im Ergebnis als überspitzt formalistisch erwiese. 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 BGE 114 Ia 40 E. 3; BGE 113 Ia 227 E. 1; BGE 112 Ia 308 E. 2a; je mit Hinweisen). Das Bundesgericht prüft den angefochtenen Entscheid in bezug auf dieses verfassungsmässige Recht frei. Da das Verwaltungsgericht des Kantons Graubünden diejenigen Grundsätze über die Zustellung von Entscheiden durch eingeschriebenen Brief angewendet hat, welche das Bundesgericht in seiner Rechtsprechung sowohl für kantonale und bundesrechtliche Verfahren entwickelt hat, falls das entsprechende Recht selbst keine Lösung vorsieht, lässt sich nicht sagen, diese Prinzipien seien sachlich nicht gerechtfertigt oder unnötig streng. Es handelt sich vielmehr um das Ergebnis einer Abwägung der gegenseitigen Interessen. Die Rechtssicherheit verlangt, dass die Vorschriften über den Beginn, die Dauer und die Einhaltung der Beschwerdefristen möglichst klar und einfach zu handhaben sind. Zudem haben sowohl die Behörden wie auch die Gegenparteien ein Interesse daran, so schnell wie möglich zu wissen, ob der Entscheid weitergezogen oder ob er rechtskräftig wird. Die Bestimmung der Fristen darf deshalb nicht oder nicht allein vom Willen oder Verhalten des Beschwerdeführers abhängen, sondern muss möglichst aufgrund objektiver Kriterien erfolgen (vgl. dazu BGE 113 Ib 90 E. 2b; 85 IV 116 ). In diesem Sinne hat das Bundesgericht denn auch in konstanter Rechtsprechung entschieden, eine Sendung sei nicht erst dann zugestellt, wenn der Adressat sie tatsächlich in Empfang nehme; es genüge vielmehr, wenn sie sich in seinem Machtbereich befinde und wenn er demzufolge von ihr Kenntnis nehmen könne ( BGE 113 Ib 297 E. 2a; BGE 109 Ia 18 E. 4; Urteil des Bundesgerichts vom 8. Dezember 1969, veröffentlicht in Semaine Judiciaire, 1972, S. 56 ff., S. 61; vgl. auch RAYMOND JEANPRETRE, L'expédition et la réception des actes de procédure et des actes juridiques, SJZ 1973, S. 349 f.). Den Interessen des Beschwerdeführers wird dadurch Rechnung getragen, dass nur dann die Annahme einer fiktiven Zustellung zulässig ist, wenn er aufgrund der Umstände BGE 115 Ia 12 S. 18 einen Entscheid zu erwarten hatte. Zudem kann der Beschwerdeführer ein Gesuch um Wiederherstellung der Frist stellen (vgl. RAYMOND JEANPRETRE, a.a.O., S. 352 f.). Da das Verwaltungsgericht die Grundsätze über die Zustellung von Entscheiden durch eingeschriebenen Brief nicht in völlig unhaltbarer Art und Weise angewendet hat, kann auch nicht gesagt werden, es habe sie mit übertriebener Schärfe gehandhabt. c) Als Zwischenergebnis ist festzuhalten, dass das Verwaltungsgericht weder das Willkürverbot verletzt noch überspitzt formalistisch entschieden hat, wenn es annahm, die (fingierte) Zustellung sei am 22. August 1987 erfolgt und die zwanzigtägige Rekursfrist sei demzufolge grundsätzlich am 11. September 1987 abgelaufen.</w:t>
      </w:r>
    </w:p>
    <w:p>
      <w:r>
        <w:rPr>
          <w:b/>
        </w:rPr>
        <w:t>E. 4</w:t>
      </w:r>
    </w:p>
    <w:p>
      <w:r>
        <w:t>wenn er im Vertrauen auf die Richtigkeit der Auskunft Dispositionen getroffen hat, die nicht ohne Nachteil rückgängig gemacht werden können; BGE 115 Ia 12 S. 19</w:t>
      </w:r>
    </w:p>
    <w:p>
      <w:r>
        <w:rPr>
          <w:b/>
        </w:rPr>
        <w:t>E. 5</w:t>
      </w:r>
    </w:p>
    <w:p>
      <w:r>
        <w:t>Bei diesem Ausgang des Verfahrens ist die private Beschwerdegegnerin, die Rothornbahn und Scallotas AG, die einen Antrag auf Nichteintreten bzw. auf Abweisung gestellt hat, als unterliegende Partei im Sinne von Art. 156 Abs. 1 OG zu betrachten. Sie hat deshalb die Kosten des Bundesgerichts zu tragen. Der Beschwerdeführer ist vor Bundesgericht durch keinen Anwalt vertreten. Sowohl seine Auslagen wie auch sein persönlicher Arbeitsaufwand dürfte nicht derart erheblich gewesen sein, dass sich deshalb eine Umtriebsentschädigung rechtfertigen würde. Er hat deshalb keinen Anspruch auf Parteientschädigung gemäss Art. 159 Abs. 1 OG ( BGE 110 V 82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