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51</w:t>
      </w:r>
    </w:p>
    <w:p>
      <w:r>
        <w:t>Bundesgericht (BGE), 1988-01-01, DE</w:t>
      </w:r>
    </w:p>
    <w:p>
      <w:r>
        <w:rPr>
          <w:b/>
        </w:rPr>
        <w:t xml:space="preserve">Quelle: </w:t>
      </w:r>
      <w:r>
        <w:t>https://mcp.opencaselaw.ch/entscheid/bge_BGE_114_V_51</w:t>
      </w:r>
    </w:p>
    <w:p>
      <w:r>
        <w:t>FR: ATF 114 V 51</w:t>
      </w:r>
    </w:p>
    <w:p>
      <w:r>
        <w:t>IT: DTF 114 V 51</w:t>
      </w:r>
    </w:p>
    <w:p>
      <w:pPr>
        <w:pStyle w:val="Heading2"/>
      </w:pPr>
      <w:r>
        <w:t>Regeste</w:t>
      </w:r>
    </w:p>
    <w:p>
      <w:r>
        <w:t>Regeste Art. 105 Abs. 2, 110 Abs. 1 UVG, Art. 118, 130 OG: Kompetenzkonflikt zwischen zwei Versicherern. - Es geht nicht an, ausserhalb der im UVG und OG vorgesehenen Zuständigkeitsordnung Kompetenzkonflikte unter Versicherern durch Privatvereinbarung dem Eidg. Versicherungsgericht auf dem Wege der verwaltungsrechtlichen Klage zum Entscheid zu unterbreiten (Erw. 2a). - Die Prorogation nach Art. 118 OG ist für das Eidg. Versicherungsgericht in den entsprechenden Verweisungsvorschriften nicht vorgesehen (Erw. 2b).</w:t>
      </w:r>
    </w:p>
    <w:p>
      <w:r>
        <w:t>Regeste Art. 105 al. 2, 110 al. 1 LAA, art. 118, 130 OJ: Conflit de compétence entre deux assureurs. - Il n'est pas possible de soumettre conventionnellement au Tribunal fédéral des assurances les conflits de compétence entre assureurs, par la voie de l'action de droit administratif et en dérogeant aux règles de compétence contenues dans la LAA et dans l'OJ (consid. 2a). - La prorogation prévue à l'art. 118 OJ n'est pas visée par les dispositions applicables par renvoi au Tribunal fédéral des assurances (consid. 2b).</w:t>
      </w:r>
    </w:p>
    <w:p>
      <w:r>
        <w:t>Regesto Art. 105 cpv. 2, 110 cpv. 1 LAINF, art. 118, 130 OG: Conflitto di competenza tra due assicuratori. - In deroga alle disposizioni sulla competenza previste dalla LAINF e dall'OG, non è possibile sottoporre per mezzo dell'azione di diritto amministrativo al Tribunale federale delle assicurazioni conflitti di competenza che oppongono assicuratori tra di loro (consid. 2a). - La proroga di giurisdizione secondo l'art. 118 OG non è prevista nelle disposizioni di rinvio applicabili al Tribunale federale delle assicurazioni (consid. 2b).</w:t>
      </w:r>
    </w:p>
    <w:p>
      <w:pPr>
        <w:pStyle w:val="Heading2"/>
      </w:pPr>
      <w:r>
        <w:t>Erwägungen</w:t>
      </w:r>
    </w:p>
    <w:p>
      <w:r>
        <w:rPr>
          <w:b/>
        </w:rPr>
        <w:t>E. 1</w:t>
      </w:r>
    </w:p>
    <w:p>
      <w:r>
        <w:t>a) Erachtet sich ein Versicherer als unzuständig, so überweist er die Sache unverzüglich an den zuständigen Versicherer ( Art. 78 UVG ). Gemäss dieser Bestimmung überwies die Mobiliar die Unfallmeldung vom 28. Mai 1985 am 18. Juli 1985 der SUVA, welche sich mit Verfügung vom 4. November 1985 als unzuständig erklärte. Die SUVA behandelte die hiegegen erhobene Einsprache des Nicola G. nicht, sondern erbrachte statt dessen - bei grundsätzlichem Festhalten an ihrer Unzuständigkeit - die Versicherungsleistungen; dabei erklärte sie, sich mit der Mobiliar direkt auseinanderzusetzen. b) Gegen Einspracheentscheide, welche die Zuständigkeit eines Versicherers betreffen, kann innert 30 Tagen Beschwerde beim Bundesamt für Sozialversicherung ( Art. 105 Abs. 2 UVG ) und gegen dessen Entscheid Verwaltungsgerichtsbeschwerde beim Eidg. Versicherungsgericht erhoben werden ( Art. 110 Abs. 1 UVG ). Die SUVA hat Nicola G. den gesetzlich vorgesehenen Rechtsweg nicht geöffnet, sondern die Versicherungsleistungen ausgerichtet. Sie vertritt die Auffassung, die Beschreitung des dargelegten Rechtsweges sei demjenigen Versicherten unzumutbar, der - wie hier - auf jeden Fall gegenüber einem der beiden Versicherer leistungsberechtigt sei. Zudem wäre es verfahrensrechtlich unzulässig, die Leistungen ohne Anerkennung einer Rechtspflicht zu erbringen und den Versicherten zugleich auf den Beschwerdeweg zu verweisen. Der Rechtsweg nach Art. 105 Abs. 1 und 2 UVG sei nur gangbar, wenn die Leistungspflicht eines Versicherers allein streitig sei. Daher habe sie unpräjudiziell die Führung des Versicherungsfalles übernommen und die gesetzlichen Leistungen erbracht. Sie fordere nunmehr von der Mobiliar als dem zuständigen Versicherer die Übernahme des Falles und dessen Weiterführung. BGE 114 V 51 S. 54 Es gehe somit um eine geldwerte Streitigkeit zwischen Versicherern. Das hiefür zulässige Rechtsmittel sei die verwaltungsrechtliche Klage an das Eidg. Versicherungsgericht als einziger Instanz gemäss Art. 110 Abs. 2 UVG in Verbindung mit Art. 130 und 116 lit. k OG . Allenfalls könnte dieses Gericht als von beiden Parteien prorogierte Instanz analog Art. 41 lit. c OG auf die Streitsache eintreten.</w:t>
      </w:r>
    </w:p>
    <w:p>
      <w:r>
        <w:rPr>
          <w:b/>
        </w:rPr>
        <w:t>E. 2</w:t>
      </w:r>
    </w:p>
    <w:p>
      <w:r>
        <w:t>Dieser Auffassung, welche von der Mobiliar geteilt wird, kann nicht beigepflichtet werden. a) Die in Art. 105 Abs. 2 und 110 Abs. 1 UVG getroffene Regelung des Rechtsweges ist für - positive und negative - Kompetenzkonflikte zwischen Versicherern generell anwendbar (MAURER, Schweizerisches Unfallversicherungsrecht, S. 74 f.) und mithin nicht nur in Fällen, da allein die Leistungspflicht eines einzigen Versicherers streitig ist. Insbesondere erweist sich der Schluss als unzutreffend, dass der in Erw. 1b dargestellte Rechtsweg bei Kompetenzkonflikten nicht anwendbar sei und die Versicherer den Zuständigkeitsstreit direkt vor dem Eidg. Versicherungsgericht austragen könnten, sofern die Leistungspflicht des einen Versicherers auf jeden Fall gegeben sei. Für eine solche Einschränkung der gesetzlichen Ordnung bieten weder der Wortlaut noch die Materialien einen Anhaltspunkt. Zwar beurteilt das Eidg. Versicherungsgericht gemäss Art. 110 Abs. 2 UVG im Verfahren der verwaltungsrechtlichen Klage (Art. 116 lit. k in Verbindung mit Art. 130 OG ) als einzige Instanz geldwerte Streitigkeiten zwischen Versicherern (vgl. dazu Botschaft des Bundesrates zum Bundesgesetz über die Unfallversicherung vom 18. August 1976, BBl 1976 III 226 in fine). Indessen geht es nicht an, ausserhalb der klaren, für Zuständigkeitsstreitigkeiten geschaffenen gesetzlichen Regelung Kompetenzkonflikte unter Versicherern durch Privatvereinbarung dem Eidg. Versicherungsgericht auf dem Wege der verwaltungsrechtlichen Klage zum Entscheid zu unterbreiten (vgl. GYGI, Bundesverwaltungsrechtspflege, 2. Aufl., S. 103). Dem Umstand, dass sich die geltende Regelung des Verfahrens bei Kompetenzkonflikten für den Versicherten in zeitlicher Hinsicht ungünstig auswirkt, können die beteiligten Versicherer dadurch Rechnung tragen, dass sie sich bei an sich klaren Leistungsfällen auf eine unpräjudizierliche Vorleistung einigen. b) Nach Art. 118 OG ist das Bundesgericht verpflichtet, als einzige Instanz die Beurteilung anderer Streitigkeiten verwaltungsrechtlicher Natur zu übernehmen, wenn es von beiden Parteien BGE 114 V 51 S. 55 angerufen wird und der Streitwert in Streitigkeiten vermögensrechtlicher Natur wenigstens Fr. 20'000.-- beträgt. Diese Prorogation ist für das Eidg. Versicherungsgericht in den entsprechenden Bestimmungen des OG nicht vorgesehen. In den Verweisungsvorschriften der Art. 130, 131, 133 und 135 OG fehlt ein Hinweis auf die Anwendbarkeit von Art. 118 OG . Es erweist sich denn auch nicht als notwendig, dass das Eidg. Versicherungsgericht als einzige Instanz über die für das verwaltungsrechtliche Klageverfahren vorgesehenen Streitigkeiten auf dem Gebiet der Sozialversicherung (Art. 116 lit. b-h und k in Verbindung mit Art. 130 OG ) hinaus Streitigkeiten mit Streitwert ab Fr. 20'000.-- beurteilt, sofern es durch Parteivereinbarung angerufen wird oder der Beklagte sich auf die Klage einlässt (GYGI, a.a.O., S. 103).</w:t>
      </w:r>
    </w:p>
    <w:p>
      <w:r>
        <w:rPr>
          <w:b/>
        </w:rPr>
        <w:t>E. 3</w:t>
      </w:r>
    </w:p>
    <w:p>
      <w:r>
        <w:t>Nach dem Gesagten kann auf die verwaltungsrechtliche Klage der SUVA und die Widerklage der Mobiliar nicht eingetreten werden. Die SUVA hat die Einsprache des Nicola G. gegen die Verfügung vom 4. November 1985 zu behandeln.</w:t>
      </w:r>
    </w:p>
    <w:p>
      <w:r>
        <w:rPr>
          <w:b/>
        </w:rPr>
        <w:t>E. 4</w:t>
      </w:r>
    </w:p>
    <w:p>
      <w:r>
        <w:t>(Kostenpunkt.) Dispositiv Demnach erkennt das Eidg. Versicherungsgericht: Auf die verwaltungsrechtliche Klage und die Widerklage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