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33</w:t>
      </w:r>
    </w:p>
    <w:p>
      <w:r>
        <w:t>Bundesgericht (BGE), 1988-02-25, DE</w:t>
      </w:r>
    </w:p>
    <w:p>
      <w:r>
        <w:rPr>
          <w:b/>
        </w:rPr>
        <w:t xml:space="preserve">Quelle: </w:t>
      </w:r>
      <w:r>
        <w:t>https://mcp.opencaselaw.ch/entscheid/bge_BGE_114_V_33</w:t>
      </w:r>
    </w:p>
    <w:p>
      <w:r>
        <w:t>FR: ATF 114 V 33</w:t>
      </w:r>
    </w:p>
    <w:p>
      <w:r>
        <w:t>IT: DTF 114 V 33</w:t>
      </w:r>
    </w:p>
    <w:p>
      <w:pPr>
        <w:pStyle w:val="Heading2"/>
      </w:pPr>
      <w:r>
        <w:t>Regeste</w:t>
      </w:r>
    </w:p>
    <w:p>
      <w:r>
        <w:t>Regeste Art. 27 Abs. 2, 39 Abs. 2 BVG, Art. 331a Abs. 1 OR: Freizügigkeitsleistung. - Zur Entstehung des Anspruchs auf Freizügigkeitsleistung (Erw. 2). - Der Anspruch auf Freizügigkeitsleistung darf grundsätzlich auch bei absichtlicher Schadenszufügung nicht mit der von der Arbeitgeberfirma an die Stiftung abgetretenen Schadenersatzforderung verrechnet werden (Erw. 3).</w:t>
      </w:r>
    </w:p>
    <w:p>
      <w:r>
        <w:t>Regeste Art. 27 al. 2, 39 al. 2 LPP, art. 331a al. 1 CO: Prestation de libre passage. - Naissance du droit à la prestation de libre passage (consid. 2). - En principe, le droit à la prestation de libre passage ne peut pas être compensé avec une créance en dommages-intérêts cédée par l'employeur à une fondation, même si le dommage a été causé intentionnellement (consid. 3).</w:t>
      </w:r>
    </w:p>
    <w:p>
      <w:r>
        <w:t>Regesto Art. 27 cpv. 2, 39 cpv. 2 LPP, art. 331a cpv. 1 CO: Prestazione di libero passaggio. - Insorgenza del diritto alla prestazione di libero passaggio (consid. 2). - Di principio il diritto alla prestazione di libero passaggio non può essere compensato con un credito di risarcimento danni ceduto dal datore di lavoro a una fondazione, anche se il danno è stato provocato intenzionalmente (consid. 3).</w:t>
      </w:r>
    </w:p>
    <w:p>
      <w:pPr>
        <w:pStyle w:val="Heading2"/>
      </w:pPr>
      <w:r>
        <w:t>Erwägungen</w:t>
      </w:r>
    </w:p>
    <w:p>
      <w:r>
        <w:rPr>
          <w:b/>
        </w:rPr>
        <w:t>E. 1</w:t>
      </w:r>
    </w:p>
    <w:p>
      <w:r>
        <w:t>a) Gemäss Art. 73 Abs. 1 BVG bezeichnet jeder Kanton als letzte kantonale Instanz ein Gericht, das über die Streitigkeiten zwischen Vorsorgeeinrichtungen, Arbeitgebern und Anspruchsberechtigten entscheidet. Der Bundesrat hat diese Bestimmung laut Art. 98 Abs. 2 BVG in Verbindung mit Art. 1 Abs. 1 der Verordnung über die Inkraftsetzung und Einführung des BVG auf BGE 114 V 33 S. 35 den 1. Januar 1985 in Kraft gesetzt. Art. 73 BVG findet auf den obligatorischen, vor-, unter- und überobligatorischen Bereich registrierter privat- und öffentlichrechtlicher Vorsorgeeinrichtungen Anwendung ( Art. 49 Abs. 2 BVG ), ferner auf nicht registrierte Personalvorsorgestiftungen ( Art. 89bis Abs. 6 ZGB ; BGE 112 V 358 Erw. 1a). Das Eidg. Versicherungsgericht hat in BGE 112 V 359 Erw. 3 die zeitlichen Grenzen der Anwendbarkeit von Art. 73 BVG festgelegt. Dessen Geltungsbereich ist auf die Beurteilung von Streitsachen beschränkt, in welchen der Versicherungsfall nicht vor dem 1. Januar 1985 eingetreten oder die in Frage stehende Forderung bzw. Verpflichtung nicht vor dem Inkrafttreten des neuen Rechts entstanden ist. Der Umstand, dass in einem solchen Fall Sachverhalte aus der Zeit vor und nach dem 1. Januar 1985 zu beurteilen sind, ändert an der BVG-Rechtspflegezuständigkeit nichts ( BGE 113 V 200 Erw. 1b und 292; MEYER-BLASER, Die Rechtswege nach dem Bundesgesetz über die berufliche Alters-, Hinterlassenen- und Invalidenvorsorge (BVG), in: ZSR 106/1987 I S. 627 f.). b) Bei der Stiftung handelt es sich um eine registrierte Vorsorgeeinrichtung im Sinne von Art. 48 BVG . Sodann steht fest, dass der Beschwerdegegner bis Ende März 1985 bei der Firma X AG angestellt war. Der Anspruch auf eine Freizügigkeitsleistung gegenüber der Stiftung konnte erst mit der Beendigung des Arbeitsverhältnisses entstehen ( Art. 27 Abs. 2 BVG ; Art. 331a Abs. 1 OR sowie Art. 6 Abs. 1 des Reglementes der Stiftung). Da das Arbeitsverhältnis zwischen Adolf H. und der Maschinenfabrik X AG auf Ende März 1985 aufgelöst wurde, ist der Freizügigkeitsfall folglich nach dem Inkrafttreten des BVG (1. Januar 1985) eingetreten. Somit ist das Eidg. Versicherungsgericht nach dem in Erw. 1a Gesagten für die Beurteilung der vorliegenden Streitsache zuständig. In der Verwaltungsgerichtsbeschwerde wird die angebliche Unzuständigkeit des kantonalen Versicherungsgerichts u.a. damit begründet, dass Art. 49 Abs. 2 BVG eng auszulegen sei; die Bestimmungen betreffend Rechtspflege gelangten nur in bezug auf die im Katalog von Art. 49 Abs. 2 BVG enthaltenen Vorschriften zur Anwendung. Nicht darunter falle die Frage, ob ein Freizügigkeitsanspruch des Beschwerdegegners gültig entstanden sei und ob die entsprechende Freizügigkeitsleistung allenfalls herausgegeben werden müsse. Diese Auffassung findet indessen im Gesetz keine Stütze. Durch die Verweisung in Art. 49 Abs. 2 BVG wird BGE 114 V 33 S. 36 der sachliche Geltungsbereich des Art. 73 BVG auf Vorsorgeeinrichtungen ausgeweitet, die mehr als die Mindestleistungen erbringen ( BGE 112 V 359 Erw. 3). Ferner sind die Rechtspflegebestimmungen des BVG nach der in der Verwaltungsgerichtsbeschwerde vertretenen Ansicht nicht anwendbar, weil das BVG nicht rückwirkend gelte und im vorliegenden Fall ein (nicht erworbener) Freizügigkeitsanspruch aus vorobligatorischer Zeit zur Diskussion stehe, auf welchen das OR Anwendung finde. Dieser Auffassung kann im Hinblick auf die dargestellte klare Rechtslage ebenfalls nicht beigepflichtet werden. Entscheidend ist, dass das den Freizügigkeitsfall auslösende Ereignis der Beendigung des Arbeitsverhältnisses unter der Herrschaft des BVG eingetreten ist. Dass die Freizügigkeitsleistung auch und überwiegend in vorobligatorischer Zeit finanziert wurde, ändert nach dem Gesagten an der Rechtsprechungszuständigkeit nach Art. 73 BVG nichts. Mithin hat die Vorinstanz ihre sachliche Zuständigkeit zu Recht bejaht. c) Beim Prozess um Freizügigkeitsleistungen (Entstehung, Höhe, Erfüllung usw.) handelt es sich um einen Streit um Versicherungsleistungen, weshalb sich die Überprüfungsbefugnis des Eidg. Versicherungsgerichts nach Art. 132 OG richtet. Danach ist die Kognition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Ferner ist das Verfahren regelmässig kostenfrei ( Art. 134 OG ).</w:t>
      </w:r>
    </w:p>
    <w:p>
      <w:r>
        <w:rPr>
          <w:b/>
        </w:rPr>
        <w:t>E. 2</w:t>
      </w:r>
    </w:p>
    <w:p>
      <w:r>
        <w:t>a) Im Obligatoriumsbereich gewährleistet die Freizügigkeitsleistung dem Versicherten bei Beendigung des Arbeitsverhältnisses die Erhaltung des Vorsorgeschutzes ( Art. 27 Abs. 1 BVG ). Der Versicherte hat Anspruch auf eine Freizügigkeitsleistung, wenn sein Arbeitsverhältnis vor Eintritt eines Versicherungsfalles aufgelöst wird und er die Vorsorgeeinrichtung verlässt ( Art. 27 Abs. 2 BVG ). Art. 28 BVG regelt die (vorliegend nicht umstrittene) Höhe der Freizügigkeitsleistung und Art. 29 BVG deren Übertragung von einer Vorsorgeeinrichtung auf eine andere. Abs. 1 dieser Bestimmung hält fest, dass der Betrag der Freizügigkeitsleistung der neuen Vorsorgeeinrichtung zu überweisen ist. Diese schreibt ihn dem Versicherten gut. BGE 114 V 33 S. 37 Bezüglich des unter-, über- und vorobligatorischen Bereichs, somit der weitergehenden Vorsorge, hält Art. 331a Abs. 1 OR bei Spareinrichtungen fest: Hat der Arbeitnehmer für die Alters-, Hinterlassenen- oder Invalidenvorsorge Beiträge an eine Spareinrichtung geleistet und erhält er bei Beendigung des Arbeitsverhältnisses von ihr keine Leistungen, so hat er gegen sie eine Forderung, die mindestens seinen Beiträgen samt Zins entspricht. Art. 331c Abs. 1 OR mit dem Randtitel "Erfüllung der Schuldpflicht" lautet: Die Personalfürsorgeeinrichtung hat ihre, der Forderung des Arbeitnehmers entsprechende Schuldpflicht in der Weise zu erfüllen, dass sie zu dessen Gunsten eine Forderung auf künftige Vorsorgeleistungen gegen die Personalfürsorgeeinrichtung eines anderen Arbeitgebers, gegen eine der Versicherungsaufsicht unterstellte Unternehmung oder, unter voller Wahrung des Vorsorgeschutzes, gegen eine Bank oder Sparkasse begründet, welche die vom Bundesrat festgesetzten Bedingungen erfüllt. Art. 6 Abs. 1 des Reglementes der Stiftung, deren Kasse sich nach Art. 1 Abs. 3 aus einer betriebseigenen Sparkasse und einer Ergänzungsversicherung zusammensetzt, hält für den Fall des vorzeitigen Dienstaustritts fest: Wird das Arbeitsverhältnis eines Mitglieds vor Erreichen des ordentlichen Rücktrittstermins aufgelöst, ohne dass ein Anspruch auf Leistungen gemäss den Abschnitten B und C besteht, so endet gleichzeitig dessen Mitgliedschaft bei der Kasse. In diesem Falle hat das ausscheidende Mitglied Anrecht auf eine Austrittsleistung, welche weiterhin dem Fürsorgezweck gewidmet bleiben muss. Art. 6 Abs. 3 lit. b des Reglementes bestimmt zur Abgeltung der Austrittsleistung folgendes: Falls das ausscheidende Mitglied ein neues Arbeitsverhältnis eingeht und beim neuen Arbeitgeber in eine Fürsorgeeinrichtung eintritt, kann die Austrittsleistung zur Begründung einer Forderung auf künftige Vorsorgeleistungen an diese Einrichtung überwiesen werden, anstelle der Bestellung einer Freizügigkeitsversicherung. b) Die Vorinstanz ging in ihrem Entscheid davon aus, dass Adolf H. vom 1. März 1973 bis 31. März 1985 bei der Firma X AG angestellt war. Seine Arbeitsleistungen hätten die Pflicht der Arbeitgeberin zur Entrichtung des vereinbarten Lohnes begründet. Seit 1975 sei er Destinatär der Stiftung gewesen. Dementsprechend seien ihm die seinerseits zu leistenden Beiträge von der Arbeitgeberin jeweils bei der Lohnauszahlung in Abzug gebracht und der Kasse überwiesen worden; im gleichen Umfang sei aber auch die Arbeitgeberin selber beitragspflichtig gewesen. BGE 114 V 33 S. 38 Dass diese Abrechnung lediglich "rein buchmässig zur Quantifizierung und Abgrenzung" erstellt worden sei, jedoch im Sinne der Klageantwort jeder materiellen Grundlage entbehre, sei unzutreffend, wie die Vorinstanz weiter erwog. Aus der Tatsache, dass Adolf H. der Arbeitgeberin grossen finanziellen Schaden zugefügt habe, könne nicht abgeleitet werden, dass die Lohnzahlungspflicht mit allen ihren Nebenfolgen wie der Pflicht zur Leistung von BVG-Beiträgen nie bestanden habe. Ebenso unbehelflich sei der Einwand, Adolf H. habe wegen seiner Veruntreuungen im Endeffekt gar keine eigenen Prämien bezahlt, habe doch die Arbeitgeberin selber zugegeben, auch bei ihm den reglementarisch vorgeschriebenen Lohnabzug vorgenommen zu haben. Entscheidend sei einzig, dass Adolf H. seit Frühling 1973 bei der früheren Arbeitgeberin beschäftigt und während dieser Zeit teilweise vorsorgeversichert gewesen sei bzw. dass ihm die Arbeitgeberin von 1975 bis 1984 insgesamt Fr. 19'423.40 und vom 1. Januar bis 31. März 1985 Fr. 936.-- vom Lohn abgezogen habe. Wenn die Arbeitgeberin heute Schadenersatzansprüche gegen Adolf H. geltend mache, so habe dies nicht zur Folge, dass die früher gestützt auf Gesetz und Reglement erbrachten Beiträge irrtümlich erfolgt seien. Es stelle sich höchstens die Frage, ob und in welchem Umfang der Arbeitnehmer nach Art. 321e OR für den Schaden verantwortlich sei, den er der Arbeitgeberin zugefügt habe. Dieses Problem stehe aber mit dem hier zu beurteilenden in keinem Zusammenhang. c) Wie schon im erstinstanzlichen Verfahren vertritt die Stiftung in der Verwaltungsgerichtsbeschwerde erneut den Standpunkt, der Beschwerdegegner habe keinen rechtsgültigen Freizügigkeitsanspruch erworben. Die Begründung geht dahin, dass die Beitragspflicht der Arbeitgeberin die Lohnzahlungspflicht voraussetze. Der Beschwerdegegner habe wegen schwerer Verletzung arbeitsvertraglicher Pflichten gar keinen Lohnanspruch gehabt. Der Rechtsgrund für die Gegenleistung Lohn mit allen Nebenfolgen sei ex tunc entfallen. Die Arbeitgeberin könne daher ihre Leistungen zurückverlangen. Mangels Lohnanspruches habe der Beschwerdegegner der Stiftung auch keine eigenen Prämienmittel zur Verfügung gestellt bzw. habe die Arbeitgeberin ohne Rechtsgrund "Beiträge" für den Beschwerdegegner an die Stiftung geleistet. Wohl habe diese die von der Arbeitgeberin als Inkassostelle überwiesenen Beitragszahlungen gebucht und abgegrenzt. Weder die blosse Tatsache der Beitragsleistung noch die formale Buchung, sondern nur ein Lohnanspruch aufgrund korrekter BGE 114 V 33 S. 39 arbeitsvertraglicher Erfüllung begründe einen rechtsgültigen Anspruch des Beschwerdegegners auf eine Freizügigkeitsleistung. Der Arbeitnehmer habe lediglich dann einen Beitrag aus eigenen Mitteln geleistet, wenn er bei Geltendmachung des Freizügigkeitsanspruches eine "Entreicherung" in der Höhe mindestens seiner Beiträge nachweisen könne. Dies sei beim Beschwerdegegner nicht der Fall, weshalb diesem mangels eigener Beitragsleistung bei der Stiftung kein Freizügigkeitsanspruch entstanden sei. d) Dieser Auffassung kann nicht beigepflichtet werden. Wie das BSV zutreffend ausführt, beurteilt sich die Frage der Entstehung des Freizügigkeitsanspruches im Obligatoriumsbereich nach Art. 27 Abs. 2 BVG und in der weitergehenden Vorsorge nach Art. 331a Abs. 1 OR sowie Art. 6 des Stiftungsreglementes. Da die entsprechenden Voraussetzungen - im Obligatoriumsbereich das Bestehen der Versicherungspflicht (vgl. dazu Art. 2 Abs. 1 in Verbindung mit Art. 10 Abs. 1 BVG ) bzw. im über- und vorobligatorischen Bereich die Bezahlung der Beiträge, sodann in beiden Bereichen die Beendigung des Arbeitsverhältnisses vor Eintritt des Versicherungsfalles und das Verlassen der Vorsorgeeinrichtung - beim Beschwerdegegner erfüllt sind, ist ein Freizügigkeitsanspruch entstanden. Als unbehelflich erweist sich insbesondere der Einwand der Beschwerdeführerin, die Beiträge des Beschwerdegegners seien wohl faktisch der Vorsorgeeinrichtung überwiesen worden - dies jedoch zu Unrecht, wie sich später herausgestellt habe, da sich die Arbeitgeberin bezüglich der Lohnzahlungspflicht in einem Irrtum befunden habe. Als Gegenleistung für die Leistung der vertraglich übernommenen Arbeit durch den Arbeitnehmer ( Art. 321 OR ) hatte ihm der Arbeitgeber dafür nach Art. 322 Abs. 1 OR den entsprechenden Lohn zu entrichten. Die in Art. 323b Abs. 2 OR vorgesehene und von der Arbeitgeberin bzw. der Beschwerdeführerin geltend gemachte Verrechnungseinrede bei Ersatzforderungen für absichtlich zugefügten Schaden setzt den Bestand einer Lohnforderung gerade voraus. Ob bei rechtzeitiger Kenntnis des Schadens die Lohnforderung allenfalls durch Verrechnung mit der Schadenersatzforderung erloschen wäre und insofern im Sinne der Ausführungen der Beschwerdeführerin keine Lohnzahlungspflicht mehr bestanden hätte, ist daher im vorliegenden Zusammenhang unerheblich. Für die Entstehung einer Forderung nach Art. 331a Abs. 1 OR ist vielmehr entscheidend, dass gestützt auf den massgebenden Lohn Beiträge geschuldet (vgl. Art. 13 des Reglementes) und demzufolge - wie im vorliegenden BGE 114 V 33 S. 40 Fall - zu Recht überwiesen wurden. Im übrigen endete die für die Entstehung eines Freizügigkeitsanspruches (stillschweigend) vorausgesetzte Versicherungspflicht im seit 1. Januar 1985 geltenden Obligatoriumsbereich nach Art. 10 Abs. 2 BVG erst mit der Auflösung des Arbeitsverhältnisses Ende März 1985. Bei der Argumentation der Beschwerdeführerin wird im übrigen der Unterschied zwischen den Rechtsbeziehungen aus dem Arbeitsverhältnis einerseits und dem gesetzlichen bzw. vertraglichen Vorsorgeverhältnis (d.h. dem BVG-Obligatoriumsbereich bzw. dem über- und vorobligatorischen Bereich) anderseits verkannt (zu den Vorsorgebeteiligten und ihren gegenseitigen Rechtsbeziehungen, insbesondere bei der Personalfürsorgestiftung als Trägerin der Personalvorsorge, vgl. RIEMER, Berufliche Vorsorge, § 4 N 1 ff.; ferner SCHNEITER, Die Rechtsbeziehungen zwischen Dienst- und Vorsorgeverhältnis bei privatrechtlichen Wohlfahrtseinrichtungen, Diss. Zürich 1966, S. 49 ff.; WALSER, Die Personalvorsorgestiftung, Diss. Zürich 1975, S. 101 ff.).</w:t>
      </w:r>
    </w:p>
    <w:p>
      <w:r>
        <w:rPr>
          <w:b/>
        </w:rPr>
        <w:t>E. 3</w:t>
      </w:r>
    </w:p>
    <w:p>
      <w:r>
        <w:t>Im weiteren ist streitig, ob der vom Beschwerdegegner erworbene (masslich unbestrittene) Freizügigkeitsanspruch durch Verrechnung mit der von der ehemaligen Arbeitgeberin an die Stiftung abgetretenen Schadenersatzforderung untergegangen ist. a) Dies ist nach Auffassung der Beschwerdeführerin zu bejahen. Es müsse zwischen den Interessen des Destinatärs an der Erhaltung von Vorsorgeansprüchen und jenen des Arbeitgebers und damit verbunden der Personalfürsorgestiftung, eine Schadenersatzforderung verrechnen zu können, abgewogen werden. Da die AHV/IV existenzsichernd sei und Art. 323b Abs. 2 OR die Verrechnung von Ersatzforderungen des Arbeitgebers bei absichtlicher Schadenszufügung in der Gegenwart unbeschränkt zulasse, könne nicht das gleiche Gesetz die Verrechnung mit Guthaben, die künftig die Fortführung der gewohnten Lebenshaltung sichern sollen, verbieten. Eine "Inkassozession" von Schadenersatzforderungen an die Personalfürsorgestiftung sei durch den Stiftungszweck gedeckt und liege im Interesse sowohl der Stiftung als auch ihrer Destinatäre. Die analoge Anwendung von Art. 39 Abs. 2 und 3 BVG in der weitergehenden Vorsorge verstosse wegen indirekter Rückwirkung gegen Art. 91 BVG . Der Schutz des Freizügigkeitsanspruches des einzelnen sei relativ und finde seine Grenze beim "Straffälligen". Es könne nicht Sinn und Zweck der Rechtsordnung sein, Vermögensteile eines Delinquenten vor dem berechtigten Zugriff eines vorsätzlich Geschädigten zu schützen. BGE 114 V 33 S. 41 Art. 39 Abs. 2 und 3 BVG , die scheinbar eine Regelung zugunsten des Beschwerdegegners träfen, enthielten für Fälle der vorliegenden Art eine unechte Lücke. Es widerspreche Treu und Glauben, sei rechtsmissbräuchlich und verstosse gegen Sinn und Zweck der Rechtsordnung, wenn der Beschwerdegegner den Freizügigkeitsanspruch geltend mache. b) Wie die Vorinstanz und das BSV zutreffend festgestellt haben, darf im Obligatoriumsbereich der Leistungsanspruch mit Forderungen, die der Arbeitgeber der Vorsorgeeinrichtung abgetreten hat, nur verrechnet werden, wenn sie sich auf Beiträge beziehen, die nicht vom Lohn abgezogen worden sind ( Art. 39 Abs. 2 BVG ). Rechtsgeschäfte, die dieser Bestimmung widersprechen, sind nichtig (Abs. 3). Damit schliesst das Gesetz die Verrechnung mit Forderungen, welche der Arbeitgeber seiner Vorsorgeeinrichtung abgetreten hat, von der erwähnten Ausnahme abgesehen, generell und zwingend aus ( BGE 111 II 169 Erw. 2c; RIEMER, a.a.O., § 5 N 30 ). Besteht nach dem Gesagten ein generelles Verrechnungsverbot bezüglich Forderungen, die der Vorsorgeeinrichtung abgetreten wurden (Botschaft des Bundesrates zum Bundesgesetz über die berufliche Alters-, Hinterlassenen- und Invalidenvorsorge vom 19. Dezember 1975, BBl 1976 I 251), so verbietet sich eine Lückenfüllung im Sinne der Vorbringen der Beschwerdeführerin. Die gesetzliche Konzeption mit dem Barauszahlungsverbot und eng begrenzten Ausnahmen ( Art. 30 BVG ) sowie dem Verrechnungsverbot bei Nichtigkeit der damit in Widerspruch stehenden Rechtsgeschäfte ( Art. 39 Abs. 2 und 3 BVG ) beruht auf einer Interessenabwägung des Gesetzgebers zugunsten der Erhaltung des Vorsorgeschutzes. Diesem kommt Vorrang zu gegenüber anderen Interessen, weshalb die für die berufliche Vorsorge geäufneten Mittel nicht zweckentfremdet werden dürfen. c) Das Bundesgericht hat in BGE 111 II 168 Erw. 2 die Verrechnung von Schadenersatzansprüchen einer Personalfürsorgestiftung mit Forderungen des Destinatärs auf künftige Vorsorgeleistungen der Stiftung gemäss Art. 331c Abs. 1 und 2 OR als grundsätzlich unzulässig erklärt (vgl. auch BGE 112 II 39 Erw. 3). Das Gericht führte aus: Anders als beim Lohn ( Art. 323b Abs. 2 OR ) hat der Gesetzgeber bei den Leistungen der Fürsorgeeinrichtung nur die Abtretung und Verpfändung, nicht aber die Verrechenbarkeit ausdrücklich ausgeschlossen ( Art. 331c Abs. 2 OR ). Daraus ist in der Literatur zum Teil auf die Zulässigkeit der Verrechnung geschlossen worden... Diese Betrachtungsweise BGE 114 V 33 S. 42 wird indes dem Zweck der gesetzlichen Regelung nicht gerecht. Art. 331c OR will die Beiträge dem Vorsorgezweck erhalten, soweit nicht ein Ausnahmefall von Abs. 4 vorliegt. Art. 331c Abs. 1 und 2 OR enthält deshalb ein zwingendes Barauszahlungsverbot. Zweck der starren Bindung einer Freizügigkeitspolice ist es, unter allen Umständen dem Arbeitnehmer eine Vorsorge zu gewährleisten. Daraus ist abgeleitet worden, bis zum Eintritt des Vorsorgefalls seien die betreffenden Forderungen der Destinatäre diesen gegenüber gar nicht erfüllbar, was eine Verrechnung ausschliesse... In der Literatur wird überdies angenommen, der Anspruch des Destinatärs auf Geldzahlung an die neue Personalfürsorgeeinrichtung schliesse die Verrechnung auch mangels Gleichartigkeit der Forderungen aus... Entscheidend ist jedoch, dass eine Zweckentfremdung der Vorsorgemittel im Anwendungsbereich des Art. 331c Abs. 1 und 2 OR ausgeschlossen werden muss. Eine Verrechnung ist daher unzulässig, soweit sie eine solche Zweckentfremdung bewirkt ( BGE 111 II 168 Erw. 2a). Auch bei einer ursprünglichen (d.h. nicht abgetretenen) Forderung der Stiftung führt die Verrechnung im Ergebnis zu einer zweckwidrigen Verwendung des Stiftungsvermögens. Daran ändert nichts, dass die Mittel zur Abdeckung von Schadenersatzforderungen aus unerlaubter Handlung verwendet werden sollen. Ob allenfalls in Analogie zu Art. 323b Abs. 2 OR davon bei absichtlicher Schädigung eine Ausnahme zu machen ist, braucht hier nicht entschieden zu werden ( BGE 111 II 169 Erw. 2c). d) Wie sich dem zitierten Entscheid des Bundesgerichts entnehmen lässt, ist für den Ausschluss der Verrechnung die Zweckbindung der Vorsorgemittel ausschlaggebend. Dabei kann im vorliegenden Fall die Frage, ob die Verrechnung noch an andern, spezifisch verrechnungsmässigen Voraussetzungen wie Gleichartigkeit der geschuldeten Leistungen und Fälligkeit der Forderungen (vgl. Art. 120 Abs. 1 OR sowie VIRET, La prévoyance en faveur du personnel selon le nouveau droit du contrat de travail, in: ZSR 94/1975 I S. 169 ff.) scheitern müsste, dahingestellt bleiben. Die vom Bundesgericht offengelassene Frage, ob bei absichtlicher Schädigung in Analogie zu Art. 323b Abs. 2 OR die Zweckbindung aufgehoben und die Verrechnungsmöglichkeit ausnahmsweise zugelassen werden sollen, ist zu verneinen. Kommt dem Vorsorgeschutz hohe Priorität zu, so ist kein überzeugendes Argument dafür ersichtlich, die Verrechnungsmöglichkeit bei Schadenersatzforderungen aus unerlaubter Handlung nach Art. 41 OR bei (leichter und grober) Fahrlässigkeit zu verneinen, bei absichtlicher Schadenszufügung die Freizügigkeitsleistungen dagegen aus der strengen gesetzlichen Zweckbindung der Vorsorgemittel zu entlassen. Dabei muss der Schutz aller Destinatäre, auch der der Angehörigen des Arbeitnehmers, im Auge behalten werden. Entgegen der in der Verwaltungsgerichtsbeschwerde vertretenen Auffassung BGE 114 V 33 S. 43 steht somit bei einer punktuellen Aufhebung des Verrechnungsverbots nicht nur der Vorsorgeschutz des "Straffälligen" auf dem Spiel.</w:t>
      </w:r>
    </w:p>
    <w:p>
      <w:r>
        <w:rPr>
          <w:b/>
        </w:rPr>
        <w:t>E. 4</w:t>
      </w:r>
    </w:p>
    <w:p>
      <w:r>
        <w:t>(Parteientschädigung.)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