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306</w:t>
      </w:r>
    </w:p>
    <w:p>
      <w:r>
        <w:t>Bundesgericht (BGE), 1988-01-01, IT</w:t>
      </w:r>
    </w:p>
    <w:p>
      <w:r>
        <w:rPr>
          <w:b/>
        </w:rPr>
        <w:t xml:space="preserve">Quelle: </w:t>
      </w:r>
      <w:r>
        <w:t>https://mcp.opencaselaw.ch/entscheid/bge_BGE_114_V_306</w:t>
      </w:r>
    </w:p>
    <w:p>
      <w:r>
        <w:t>FR: ATF 114 V 306</w:t>
      </w:r>
    </w:p>
    <w:p>
      <w:r>
        <w:t>IT: DTF 114 V 306</w:t>
      </w:r>
    </w:p>
    <w:p>
      <w:pPr>
        <w:pStyle w:val="Heading2"/>
      </w:pPr>
      <w:r>
        <w:t>Regeste</w:t>
      </w:r>
    </w:p>
    <w:p>
      <w:r>
        <w:t>Regeste Art. 11 UVG, art. 19 UVV, art. 1 Abs. 1 und 2 HVUV, Ziff. 1.02 der Hilfsmittelliste: Hand- und Armprothesen. - Die Hilfsmittel der in der Hilfsmittelliste im Anhang zur HVUV enthaltenen Kategorie "Hand- und Armprothesen" können nicht mit der Begründung verweigert werden, sie hätten ausschliesslich ästhetische Bedeutung (Erw. 3). - Die Hilfsmittelliste ist insofern abschliessend, als sie die in Frage kommenden Hilfsmittelkategorien aufzählt, während bei jeder Kategorie geprüft werden muss, ob die Aufzählung innerhalb der Kategorie abschliessend oder bloss exemplifikatorisch ist (Erw. 4). - Die Aufzählung in der Kategorie "Hand- und Armprothesen" ist abschliessend; Fingerprothesen gehen nicht zu Lasten der Unfallversicherung (Erw. 5).</w:t>
      </w:r>
    </w:p>
    <w:p>
      <w:r>
        <w:t>Regeste Art. 11 LAA, art. 19 OLAA, art. 1er al. 1 et 2 OMAA, ch. 1.02 de la liste des moyens auxiliaires: Prothèses pour les mains et les bras. - Les moyens auxiliaires appartenant à la catégorie "prothèses pour les mains et les bras", figurant dans la liste des moyens auxiliaires de l'annexe à l'OMAA, ne peuvent pas être refusés au seul motif qu'ils servent à des fins esthétiques (consid. 3). - La liste des moyens auxiliaires est exhaustive dans la mesure où elle énumère les catégories de moyens auxiliaires entrant en ligne de compte; en revanche, il faut examiner, pour chaque catégorie, si l'énumération est exhaustive ou simplement indicative (consid. 4). - Pour ce qui est de la catégorie "prothèses pour les mains et les bras", l'énumération est exhaustive; la remise de prothèses pour les doigts n'incombe dès lors pas à l'assurance-accidents (consid. 5).</w:t>
      </w:r>
    </w:p>
    <w:p>
      <w:r>
        <w:t>Regesto Art. 11 LAINF, art. 19 OAINF, art. 1 cpv. 1 e 2 OMAINF, cifra 1.02 dell'elenco dei mezzi ausiliari: Protesi delle mani e delle braccia. - I mezzi ausiliari di cui alla categoria "protesi delle mani e delle braccia" figurante nell'elenco dei mezzi ausiliari dell'allegato all'OMAINF non possono essere rifiutati per il solo motivo che essi abbiano carattere estetico (consid. 3). - Detto elenco è esauriente nella misura in cui enumera le categorie di mezzi ausiliari che entrano in considerazione, mentre occorre per ogni categoria esaminare se l'enumerazione ha carattere esauriente oppure indicativo (consid. 4). - L'enumerazione contenuta nella categoria "protesi delle mani e delle braccia" è esauriente; le protesi delle dita non sono pertanto prese a carico dall'assicurazione contro gli infortuni (consid. 5).</w:t>
      </w:r>
    </w:p>
    <w:p>
      <w:pPr>
        <w:pStyle w:val="Heading2"/>
      </w:pPr>
      <w:r>
        <w:t>Erwägungen</w:t>
      </w:r>
    </w:p>
    <w:p>
      <w:r>
        <w:rPr>
          <w:b/>
        </w:rPr>
        <w:t>E. 2</w:t>
      </w:r>
    </w:p>
    <w:p>
      <w:r>
        <w:t>Giusta l' art. 11 LAINF , l'assicurato ha diritto ai mezzi ausiliari atti a compensare un pregiudizio fisico o funzionale. Il Consiglio federale ne compila l'elenco (cpv. 1). I mezzi ausiliari devono essere semplici ed adeguati (cpv. 2). Per l' art. 19 OAINF il Dipartimento federale dell'interno redige l'elenco dei mezzi ausiliari ed emana disposizioni sulla loro consegna. In virtù dell' art. 1 OMAINF l'assicurato ha diritto ai mezzi ausiliari figuranti nell'elenco allegato, nella misura in cui essi compensano un danno fisico o la perdita di una funzione risultanti da infortunio o malattia professionale (cpv. 1). Il diritto si estende ai mezzi ausiliari necessari, adatti al pregiudizio della salute, di tipo semplice ed adeguato, come pure agli accessori indispensabili e BGE 114 V 306 S. 308 agli adeguamenti esatti da detto pregiudizio. Il numero e le caratteristiche dei mezzi ausiliari devono corrispondere alle esigenze della vita, sia privata sia professionale (cpv. 2). Nell'elenco dei mezzi ausiliari figurano a cifra 1.02 "protesi delle mani e delle braccia".</w:t>
      </w:r>
    </w:p>
    <w:p>
      <w:r>
        <w:rPr>
          <w:b/>
        </w:rPr>
        <w:t>E. 3</w:t>
      </w:r>
    </w:p>
    <w:p>
      <w:r>
        <w:t>Nell'evenienza concreta la protesi è stata rifiutata perché intesa ad ovviare ad un pregiudizio estetico. Bisogna al riguardo osservare che accanto alle protesi delle mani e delle braccia, incontestabilmente anche le protesi delle dita sono normalmente in grado di compensare un pregiudizio fisico ai sensi dell' art. 11 cpv. 1 LAINF . Secondo la ratio della norma non appare d'altro canto decisivo se tale compenso sia di natura funzionale oppure miri anche o esclusivamente a scopi estetici. Del resto, tanto l'assicurazione contro gli infortuni quanto quella per l'invalidità mettono a disposizione mezzi ausiliari anche quando essi solo compensano un pregiudizio estetico, quando si ritenga, ad esempio, che ambedue i sistemi prevedono l'assegnazione di protesi dell'occhio (cifra 5.01 dell'elenco OMAINF e della lista OMAI), dove un compenso funzionale chiaramente non è dato. Considerata la difficoltà pratica di distinguere se protesi della mano o del braccio effettivamente abbiano carattere funzionale o meno si è d'altronde rinunciato, nella lista dei mezzi ausiliari previsti nell'assicurazione per l'invalidità, del 2 agosto 1983 (cifra 1.02 della lista OMAI), a riprendere l'attributo di "funzionale" (cfr. RCC 1983 pag. 458). Ora, il rilievo di tali constatazioni non può essere trascurato se si considera che già nel Messaggio per una legge federale sull'assicurazione contro gli infortuni del 18 agosto 1976 il Consiglio federale prevedeva di stabilire l'elenco dei mezzi ausiliari tenendo conto di quelli presi a carico dall'assicurazione per l'invalidità giusta l' art. 21 LAI , appunto destinati in primo luogo all'integrazione professionale (FF 1976 III 205). Infine, come risulta dall' art. 1 cpv. 2 OMAINF , il diritto si estende ai mezzi ausiliari cui il numero e le caratteristiche debbono corrispondere alle esigenze della vita non solo professionale bensì pure privata. Ne consegue che alla ricorrente i richiesti mezzi ausiliari non possono essere rifiutati per il solo motivo che essi abbiano carattere estetico.</w:t>
      </w:r>
    </w:p>
    <w:p>
      <w:r>
        <w:rPr>
          <w:b/>
        </w:rPr>
        <w:t>E. 4</w:t>
      </w:r>
    </w:p>
    <w:p>
      <w:r>
        <w:t>Le disposizioni applicabili all'assicurazione contro gli infortuni ricalcano quelle disciplinanti la materia in tema di assicurazione per l'invalidità. Come si è visto, in questa BGE 114 V 306 S. 309 assicurazione il diritto ai mezzi ausiliari è disciplinato dall' art. 21 LAI , con delega al Consiglio federale di allestirne l'elenco, a sua volta subdelegato al competente dipartimento ( art. 14 OAI ), il quale ha emanato l'Ordinanza sulla consegna dei mezzi ausiliari (OMAI) e il relativo allegato. A ragione pertanto i giudici cantonali hanno richiamato per analogia i principi dedotti in materia di assicurazione per l'invalidità. In questo ambito il Tribunale federale delle assicurazioni ha già stabilito che la delega contenuta in un atto legislativo non può essere oggetto di controllo giudiziale (cfr. DTF DTF 101 Ib 73 /74 consid. 3 e 4), mentre resisteva a un controllo di legittimità la subdelega al Dipartimento. Questa Corte ha inoltre dichiarato che il Consiglio federale, rispettivamente il Dipartimento, non è tenuto ad ammettere nell'elenco dei mezzi ausiliari tutti quelli che possono servire all'integrazione dell'assicurato e che a quest'ultimo spetta solo il diritto ai mezzi annoverati nella menzionata lista. Il Consiglio federale o per esso il Dipartimento può quindi effettuare una scelta e limitare il numero dei mezzi ausiliari ammessi; poiché la legge non disciplina in modo esplicito i criteri di scelta, esso gode al riguardo di un'ampia libertà di apprezzamento. È comunque evidente che procedendo all'allestimento dell'elenco il Consiglio federale, rispettivamente il Dipartimento, non può agire in modo arbitrario; esso in particolare non può operare distinzioni in sé ingiustificate o altrimenti insostenibili, né istituire criteri che non poggino su motivi oggettivi seri ( DTF 105 V 27 consid. 3b; cfr. DTF 96 I 456 consid. 1). Anche per l'assicurazione contro gli infortuni deve infine essere ribadito quanto il Tribunale federale delle assicurazioni ha asserito per l'assicurazione per l'invalidità, vale a dire che la lista dell'allegato all'Ordinanza è esauriente nella misura in cui enumera le categorie di mezzi ausiliari che entrano in considerazione, mentre occorre per ogni categoria esaminare se l'enumerazione ha carattere esauriente oppure indicativo ( DTF 108 V 5 consid. 1b).</w:t>
      </w:r>
    </w:p>
    <w:p>
      <w:r>
        <w:rPr>
          <w:b/>
        </w:rPr>
        <w:t>E. 5</w:t>
      </w:r>
    </w:p>
    <w:p>
      <w:r>
        <w:t>Deve quindi essere esaminato se l'indicazione contenuta nella categoria delle protesi delle mani e delle braccia abbia carattere esauriente oppure indicativo, se cioè si sia voluto indicare una categoria chiusa oppure una categoria passibile di essere estesa anche alle dita. Al riguardo occorre anzitutto rilevare che dal testo legale e dall'ordinanza in questione non può essere dedotto che si sia BGE 114 V 306 S. 310 voluto creare una categoria a carattere puramente indicativo. Se d'altro canto, come si è detto, i medesimi criteri adottati per l'assicurazione per l'invalidità sono da estendere anche all'assicurazione contro gli infortuni, vuole essere ricordato che nelle Direttive sulla consegna dei mezzi ausiliari nell'assicurazione per l'invalidità, rilasciate dall'Ufficio federale delle assicurazioni sociali il 1o gennaio 1984, è asserito che le protesi delle dita non sono mezzi ausiliari dell'assicurazione per l'invalidità (cifra 1.01.5/1.02.5). Ora, considerata la prassi vigente nel menzionato ramo assicurativo, il Dipartimento federale dell'interno o l'Ufficio federale delle assicurazioni sociali, stabilendo l'elenco dei mezzi ausiliari previsti nell'assicurazione contro gli infortuni, il quale è di più recente data rispetto alla lista allestita per l'assicurazione per l'invalidità, senz'altro avrebbe espressamente precisato o dovuto precisare se nell'elenco dell'OMAINF avesse inteso inserire anche le protesi delle dita. Del resto, se così fosse stato, nella categoria in questione sarebbe bastato accennare alle protesi delle braccia, di cui fanno parte le mani e quindi le dita. Anche ricorrendo all'interpretazione grammaticale dei testi normativi in esame il contenuto dell'elenco dei mezzi ausiliari non permette pertanto di giungere a soluzione diversa. Infine, come si è giudicato in un caso in cui si trattava di statuire sul diritto all'assegnazione di protesi delle dita secondo la LAMI, vigente sino al 31 dicembre 1983, questa Corte ha constatato che i vantaggi derivanti dall'uso della protesi (esclusi quelli di natura estetica) sono di valore scarso, se non nullo (RAMI 1986 n. U 4 pag. 317 inedito su questo punto). Da quanto precede deve essere dedotto, come hanno affermato i primi giudici, che l'omissione delle protesi delle dita è stata voluta e che i mezzi ausiliari contenuti nella categoria delle protesi delle mani e delle braccia sono esaurienti.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