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317 vom 1. Januar 1988</w:t>
      </w:r>
    </w:p>
    <w:p>
      <w:r>
        <w:t>Bundesgericht (BGE), 1988-01-01, DE</w:t>
      </w:r>
    </w:p>
    <w:p>
      <w:r>
        <w:rPr>
          <w:b/>
        </w:rPr>
        <w:t xml:space="preserve">Quelle: </w:t>
      </w:r>
      <w:r>
        <w:t>https://mcp.opencaselaw.ch/entscheid/bge_BGE_114_Ib_317</w:t>
      </w:r>
    </w:p>
    <w:p>
      <w:r>
        <w:t>FR: BGE BGE 114 Ib 317 du 1 janvier 1988</w:t>
      </w:r>
    </w:p>
    <w:p>
      <w:r>
        <w:t>IT: BGE BGE 114 Ib 317 del 1 gennaio 1988</w:t>
      </w:r>
    </w:p>
    <w:p>
      <w:pPr>
        <w:pStyle w:val="Heading2"/>
      </w:pPr>
      <w:r>
        <w:t>Regeste</w:t>
      </w:r>
    </w:p>
    <w:p>
      <w:r>
        <w:t>Regeste Art. 24 Abs. 1 RPG; Standortgebundenheit eines unterirdischen Durchganges. 1. Das in Art. 24 Abs. 1 RPG enthaltene Erfordernis der Standortgebundenheit beruht auf der räumlichen Ordnungsvorstellung, das Kulturland und das Siedlungsgebiet zu trennen, den Siedlungsraum zu beschränken und das Land ausserhalb des baulichen Bereichs grundsätzlich von Überbauungen freizuhalten. Der Gesetzgeber hat insoweit die Interessenabwägung grundsätzlich selber abschliessend vorgenommen (E. 4a). 2. Ein unterirdischer Durchgang zwischen Wohnhaus und Garage als solcher ist nicht standortgebunden; er dient dem persönlichen Komfortbedürfnis, das der räumlichen Ordnungsvorstellung widerspricht (E. 4c). 3. Eine bestehende, zonenfremde Baute als solche rechtfertigt eine weitere Ausdehnung der zonenwidrigen Nutzung nicht und kann somit die Standortgebundenheit weiterer zonenfremder Anlagen nicht begründen (E. 4d).</w:t>
      </w:r>
    </w:p>
    <w:p>
      <w:r>
        <w:t>Regeste Art. 24 al. 1 LAT; implantation d'un passage souterrain prétendument imposée par sa destination. 1. L'exigence d'une implantation imposée par la destination de l'ouvrage, inscrite à l'art. 24 al. 1 LAT, repose sur l'idée d'une disposition spatiale où le territoire consacré à l'habitat est restreint et séparé de celui réservé aux cultures, et où le terrain extérieur au périmètre bâti reste en principe libre de constructions. Dans cette mesure, le législateur a effectué lui-même la pesée des intérêts en présence, en principe de manière définitive (consid. 4a). 2. Un passage souterrain entre une maison d'habitation et un garage n'a pas, en lui-même, d'implantation imposée par sa destination. Il satisfait un besoin individuel de confort qui ne doit pas compromettre la disposition spatiale précitée (consid. 4c). 3. La présence d'une construction non conforme à l'affectation de la zone ne justifie pas l'accroissement d'une utilisation du sol étrangère à cette affectation; elle ne peut dès lors pas entraîner que l'implantation d'autres installations non conformes soit imposée par leur destination (consid. 4d).</w:t>
      </w:r>
    </w:p>
    <w:p>
      <w:r>
        <w:t>Regesto Art. 24 cpv. 1 LPT; ubicazione vincolata di un passaggio sotterraneo. 1. Il requisito dell'ubicazione vincolata stabilito dall'art. 24 cpv. 1 LPT si fonda su di un assetto dello spazio in cui il territorio destinato a scopi abitativi è delimitato e separato da quello riservato alle colture; in tale assetto il terreno situato fuori dell'ambito edificato deve restare, di regola, libero da costruzioni. In questa misura il legislatore ha ponderato direttamente gli opposti interessi, in linea di principio definitivamente (consid. 4a). 2. Un passaggio sotterraneo tra una casa d'abitazione e un garage non ha, di per sè, un'ubicazione vincolata. Esso soddisfa un bisogno individuale di comodità, che contrasta con l'assetto spaziale sopra menzionato (consid. 4c). 3. La presenza di una costruzione non conforme alla destinazione della zona non giustifica che sia accresciuta un'utilizzazione del suolo non conforme a tale destinazione; essa non può quindi dar luogo ad un'ubicazione vincolata di ulteriori impianti non conformi a detta destinazione (consid. 4d).</w:t>
      </w:r>
    </w:p>
    <w:p>
      <w:pPr>
        <w:pStyle w:val="Heading2"/>
      </w:pPr>
      <w:r>
        <w:t>Erwägungen</w:t>
      </w:r>
    </w:p>
    <w:p>
      <w:r>
        <w:rPr>
          <w:b/>
        </w:rPr>
        <w:t>E. 4</w:t>
      </w:r>
    </w:p>
    <w:p>
      <w:r>
        <w:t>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113 Ib 141 E. 5; BGE 112 Ib 102 ). a) Gemäss bundesgerichtlicher Rechtsprechung darf die Standortgebundenheit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oder Bequemlichkeit ankommen ( BGE 113 Ib 141 E. 5a; BGE 111 Ib 217 E. 3b). An diese Erfordernisse sind strenge Anforderungen zu stellen ( BGE 113 Ib 142 ), um der Zersiedlung der Landschaft entgegenzuwirken. Wie das Verwaltungsgericht zu Recht festhält, beruht diese Regelung auf der räumlichen Ordnungsvorstellung, das Kulturland und das Siedlungsgebiet zu trennen, den Siedlungsraum zu beschränken und das Land ausserhalb des baulichen Bereichs grundsätzlich von Überbauungen freizuhalten ( Art. 3 Abs. 2 und 3 RPG ). Der Gesetzgeber hat somit grundsätzlich selber eine Interessenabwägung vorgenommen; die Baubewilligungs- und die entsprechende Rechtsmittelbehörde hat sie lediglich anzuwenden. Hierin unterscheidet sich die Handhabung des Kriteriums der Standortgebundenheit ( Art. 24 Abs. 1 lit. a RPG ) von demjenigen der überwiegenden entgegenstehenden Interessen ( Art. 24 Abs. 1 lit. b RPG ). b) Die Beschwerdeführerin macht geltend, sie benötige den Durchgang, um trockenen Fusses vom Wohnhaus zur Garage zu gelangen, vor allem im Hinblick auf zunehmendes Alter und zunehmende Gebrechlichkeit. Das Verwaltungsgericht hält dem entgegen, der vorgesehene Durchgang sei aus sachlichen Gründen nicht auf einen Standort ausserhalb der Bauzone angewiesen. Das zonenwidrige Wohnhaus könne die Standortgebundenheit des Bauvorhabens nicht begründen. Im übrigen könnten die Garage und das Schwimmbad bereits heute vom Wohnhaus aus problemlos über den geteerten bzw. gekiesten Hausplatz erreicht werden, womit die Verbindung gewährleistet sei. Eine weitere interne Erschliessung BGE 114 Ib 317 S. 320 mittels unterirdischem Durchgang sei daher keineswegs erforderlich. c) Diesen verwaltungsgerichtlichen Überlegungen ist zuzustimmen. Es liegt auf der Hand, dass der unterirdische Durchgang als solcher nicht standortgebunden ist, sondern einem persönlichen Komfortbedürfnis entspringt, das der gesetzgeberischen räumlichen Ordnungsvorstellung widerspricht ( BGE 111 Ib 217 E. 3b, BGE 108 Ib 135 E. 3a; nicht veröffentlichtes Urteil des Bundesgerichts vom 2. März 1987 i.S. EJPD c. Wismer betreffend Minigolfanlage und Parkplatzerweiterung zu einem bestehenden Restaurant). Die Verhältnisse liegen hier nicht anders als bei einem Schwimmbad und einem Gartenhaus, das ein Bauherr in der Nähe seines Privathauses errichten wollte. Auch in diesem Fall fand das Bundesgericht, der Wunsch danach entspreche nicht einem Bedürfnis, das im Hinblick auf die sinnvolle Nutzung der Wohnliegenschaft als sachlich ausgewiesen oder gar notwendig erscheine. Dieses Ergebnis könne für einen Bauherrn, der seinerzeit rechtens gebaut habe und dessen Liegenschaft nunmehr zonenwidrig geworden sei, eine gewisse Härte bedeuten. Diese Härte sei indessen vom Bundesgesetzgeber im Interesse einer klaren Trennung von Siedlungs- und Nichtsiedlungsgebiet, die zur Vermeidung der Zersiedlung der Landschaft nötig sei, bewusst in Kauf genommen worden (nicht veröffentlichtes Urteil des Bundesgerichts vom 23. Mai 1986 i.S. Mayer c. Weinfelden betreffend Schwimmbad und Gartenhaus). d) Die Standortgebundenheit kann auch nicht aus der Tatsache hergeleitet werden, dass der Durchgang dem bestehenden Wohnhaus dient, da eine bestehende, zonenfremde Baute als solche eine weitere Ausdehnung der zonenwidrigen Nutzung nicht rechtfertigen und somit die Standortgebundenheit für weitere zonenfremde Anlagen nicht begründen kann (nicht veröffentlichte Urteile des Bundesgerichts vom 20. Mai 1987 i.S. Schärer E. 3, vom 2. März 1987 i.S. EJPD c. Wismer E. 3a und vom 18. März 1981 i.S. Henselmann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